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AE44D6">
      <w:pPr>
        <w:spacing w:line="600" w:lineRule="exact"/>
        <w:jc w:val="center"/>
        <w:rPr>
          <w:rFonts w:hint="eastAsia" w:ascii="方正公文小标宋" w:hAnsi="方正公文小标宋" w:eastAsia="方正公文小标宋" w:cs="方正公文小标宋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  <w:t>2024年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  <w:lang w:eastAsia="zh-CN"/>
        </w:rPr>
        <w:t>衡阳县就业服务中心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部门整体支出绩效</w:t>
      </w:r>
    </w:p>
    <w:p w14:paraId="7F9DA0AE">
      <w:pPr>
        <w:spacing w:line="600" w:lineRule="exact"/>
        <w:jc w:val="center"/>
        <w:rPr>
          <w:rFonts w:hint="eastAsia" w:ascii="方正公文小标宋" w:hAnsi="方正公文小标宋" w:eastAsia="方正公文小标宋" w:cs="方正公文小标宋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自评报告</w:t>
      </w:r>
    </w:p>
    <w:p w14:paraId="7D8FCD7F"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BEDBFEC">
      <w:pPr>
        <w:pStyle w:val="6"/>
        <w:widowControl/>
        <w:numPr>
          <w:ilvl w:val="0"/>
          <w:numId w:val="1"/>
        </w:numPr>
        <w:spacing w:line="600" w:lineRule="exact"/>
        <w:ind w:left="0" w:leftChars="0"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部门、单位</w:t>
      </w:r>
    </w:p>
    <w:p w14:paraId="2E348F6A">
      <w:pPr>
        <w:pStyle w:val="6"/>
        <w:widowControl/>
        <w:numPr>
          <w:ilvl w:val="0"/>
          <w:numId w:val="1"/>
        </w:numPr>
        <w:spacing w:line="600" w:lineRule="exact"/>
        <w:ind w:left="0" w:leftChars="0"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基本情况</w:t>
      </w:r>
    </w:p>
    <w:p w14:paraId="6AAD3B85">
      <w:pPr>
        <w:pStyle w:val="6"/>
        <w:widowControl/>
        <w:spacing w:line="600" w:lineRule="exact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（一）机构设置情况</w:t>
      </w:r>
    </w:p>
    <w:p w14:paraId="66B44529">
      <w:pPr>
        <w:pStyle w:val="6"/>
        <w:widowControl/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衡阳县就业服务中心为副科级全额拨款事业单位。内设8个股室：即办公室、财务室、城镇就业股、就业培训股、农村就业股、就业培训中心、创业服务股、创业贷款服务股。本单位202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年机构无变动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0769BFD6">
      <w:pPr>
        <w:pStyle w:val="6"/>
        <w:widowControl/>
        <w:numPr>
          <w:ilvl w:val="0"/>
          <w:numId w:val="0"/>
        </w:numPr>
        <w:spacing w:line="60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eastAsia" w:eastAsia="楷体_GB2312" w:cs="Times New Roman"/>
          <w:sz w:val="32"/>
          <w:szCs w:val="32"/>
          <w:lang w:val="en-US" w:eastAsia="zh-CN"/>
        </w:rPr>
        <w:t>(二）</w:t>
      </w:r>
      <w:r>
        <w:rPr>
          <w:rFonts w:hint="default" w:ascii="Times New Roman" w:hAnsi="Times New Roman" w:eastAsia="楷体_GB2312" w:cs="Times New Roman"/>
          <w:sz w:val="32"/>
          <w:szCs w:val="32"/>
        </w:rPr>
        <w:t>人员编制情况</w:t>
      </w:r>
    </w:p>
    <w:p w14:paraId="65DEDF24">
      <w:pPr>
        <w:pStyle w:val="6"/>
        <w:widowControl/>
        <w:spacing w:line="600" w:lineRule="exact"/>
        <w:ind w:left="0" w:leftChars="0"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编制人数38人，在职28人，退休12人。</w:t>
      </w:r>
    </w:p>
    <w:p w14:paraId="10B20711">
      <w:pPr>
        <w:pStyle w:val="6"/>
        <w:widowControl/>
        <w:spacing w:line="600" w:lineRule="exact"/>
        <w:ind w:left="64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二、预算支出情况</w:t>
      </w:r>
    </w:p>
    <w:p w14:paraId="7BCF30C4">
      <w:pPr>
        <w:pStyle w:val="6"/>
        <w:widowControl/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</w:t>
      </w:r>
      <w:r>
        <w:rPr>
          <w:rFonts w:hint="eastAsia" w:eastAsia="楷体_GB2312" w:cs="Times New Roman"/>
          <w:sz w:val="32"/>
          <w:szCs w:val="32"/>
          <w:lang w:eastAsia="zh-CN"/>
        </w:rPr>
        <w:t>部门</w:t>
      </w:r>
      <w:r>
        <w:rPr>
          <w:rFonts w:hint="default" w:ascii="Times New Roman" w:hAnsi="Times New Roman" w:eastAsia="楷体_GB2312" w:cs="Times New Roman"/>
          <w:sz w:val="32"/>
          <w:szCs w:val="32"/>
        </w:rPr>
        <w:t>预决算情况</w:t>
      </w:r>
    </w:p>
    <w:p w14:paraId="4F5E68CC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1.部门预算情况</w:t>
      </w:r>
    </w:p>
    <w:p w14:paraId="475FB40F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年初预算安排收入为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272.81万元，其中一般公共预算拨款收入272.81万元；2024年年初预算安排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272.81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万元，其中：基本支出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272.81万元。</w:t>
      </w:r>
    </w:p>
    <w:p w14:paraId="49300B3D">
      <w:pPr>
        <w:numPr>
          <w:ilvl w:val="0"/>
          <w:numId w:val="0"/>
        </w:num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部门决算情况（含年中预算追加情况）</w:t>
      </w:r>
    </w:p>
    <w:p w14:paraId="7E523A4E"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决算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收入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589.77万元，较预算增加316.96万元，其中：一般公共预算拨款为335.96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（包含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年中预算追加202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年度在职人员增资和绩效工资及退休人员生日节日慰问及绩效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63.15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，其他收入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253.81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总支出476.25万元，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其中：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基本支出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476.25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，占总支出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100%。具体情况为：（1）工资福利支出：338.63万元，其中基本工资津补贴奖金绩效工资237.29万元，伙食补助12.36万元，社会保险缴费55.72万元，住房公积金28.52万元，医疗费4.75万元。（2）商品和服务支出：128.81万元，其中办公费14.68万元，印刷费5.79万元，手续费0.2万元，水电费2.96万元，邮电费1.07万元，物业管理费0.66万元，差旅费12.86万元，维修（护）费5.62万元，租赁费6.05万元，会议费2.45万元，培训费5.79万元，公务接待费0.48万元，劳务费11.85万元，委托业务费24.33万元，工会经费15.24万元，公务用车运行维护费5.79万元，其他交通费用2.47万元，其他商品和服务支出10.52万元。（3）对个人和家庭的补助：8.82万元，其中生活补助8.03万元，奖励金0.39万元，其他对个人和家庭的补助0.4万元。</w:t>
      </w:r>
    </w:p>
    <w:p w14:paraId="6FEA1E3F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差异产生的主要原因是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年中预算追加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年度在职人员增资和绩效工资及退休人员生日节日慰问及绩效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63.15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，就业管理事务其他资金支出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140.3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（包括就业培训、见习补贴、就业援助等公共就业服务业务支出）。</w:t>
      </w:r>
    </w:p>
    <w:p w14:paraId="0050190A">
      <w:pPr>
        <w:spacing w:line="600" w:lineRule="exact"/>
        <w:ind w:firstLine="640" w:firstLineChars="200"/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  <w:t>（二）部门预算执行情况</w:t>
      </w:r>
    </w:p>
    <w:p w14:paraId="06EA054F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经费执行情况</w:t>
      </w:r>
    </w:p>
    <w:p w14:paraId="498373CA"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年，“三公”经费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预算数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2.36万元，其中：因公出国（境）费0万元，公务用车购置及运行维护费1.88万元，公务接待费0.48万元。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“三公”经费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决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算数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.27万元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，较预算增加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3.91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万元，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其中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因公出国（境）费0万元，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公务用车购置及运行维护费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5.79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万元，</w:t>
      </w:r>
      <w:r>
        <w:rPr>
          <w:rFonts w:hint="eastAsia" w:ascii="仿宋" w:hAnsi="仿宋" w:eastAsia="仿宋"/>
          <w:sz w:val="32"/>
          <w:szCs w:val="24"/>
          <w:lang w:val="en-US" w:eastAsia="zh-CN"/>
        </w:rPr>
        <w:t>比上年增加1.96万元，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增减变化的主要原因是：公务用车已达到报废年限仍在使用，维护费用增加。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公务接待费完成0.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，比上年增加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0.04万元，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主要是上级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同级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工作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交流增加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2A4299DF">
      <w:pPr>
        <w:numPr>
          <w:ilvl w:val="0"/>
          <w:numId w:val="0"/>
        </w:numPr>
        <w:spacing w:line="60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2.政府采购执行情况</w:t>
      </w:r>
    </w:p>
    <w:p w14:paraId="19F9560C">
      <w:pPr>
        <w:numPr>
          <w:ilvl w:val="0"/>
          <w:numId w:val="0"/>
        </w:num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2024年度政府采购支出58.88万元，其中：货物18.07万元，工程0万元，服务40.81万元。</w:t>
      </w:r>
    </w:p>
    <w:p w14:paraId="09371F45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资产管理情况</w:t>
      </w:r>
    </w:p>
    <w:p w14:paraId="5BA68530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年年末资产总额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1436.95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万元，负债总额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1031.89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万元，净资产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405.06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万元。截至202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年12月31日，固定资产账面原值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269.28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万元，在用资产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191.15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万元，资产使用率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70.99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%。</w:t>
      </w:r>
    </w:p>
    <w:p w14:paraId="3892487D">
      <w:pPr>
        <w:widowControl/>
        <w:spacing w:line="600" w:lineRule="exact"/>
        <w:ind w:firstLine="645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三、部门整体支出绩效情况</w:t>
      </w:r>
    </w:p>
    <w:p w14:paraId="0D01756C">
      <w:pPr>
        <w:widowControl/>
        <w:spacing w:line="600" w:lineRule="exact"/>
        <w:ind w:firstLine="645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（一）综合评价结论。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反映自评得分及评价等级。</w:t>
      </w:r>
    </w:p>
    <w:p w14:paraId="14250A37">
      <w:pPr>
        <w:widowControl/>
        <w:spacing w:line="600" w:lineRule="exact"/>
        <w:ind w:firstLine="645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，根据年初工作规划和重点性工作，围绕上级和县委、县政府的要求较好的完成了年度工作目标，通过加强预算收支管理，不断建立健全内部管理制度，梳理内部管理流程，部门整体支出管理情况得到提升。支出总额控制在预算总额以内，超本年预算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较少，低于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上年决算支出。预算管理方面，制度执行总体较为有效，仍需进一步强化；资金使用管理严格按制度执行，严控流程，严把手续；资产管理方面，健全资产管理制度，定期进行盘点和资产清理，总体执行较好。根据蒸财绩【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号文件规定评分，得分98.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08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分，绩效评价等级为“优秀”。</w:t>
      </w:r>
    </w:p>
    <w:p w14:paraId="5E3FA8AE">
      <w:pPr>
        <w:widowControl/>
        <w:numPr>
          <w:ilvl w:val="0"/>
          <w:numId w:val="2"/>
        </w:numPr>
        <w:spacing w:line="600" w:lineRule="exact"/>
        <w:ind w:firstLine="645"/>
        <w:jc w:val="left"/>
        <w:rPr>
          <w:rFonts w:hint="default" w:ascii="Times New Roman" w:hAnsi="Times New Roman" w:eastAsia="楷体_GB2312" w:cs="Times New Roman"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评价指标分析（或综合评价情况）。</w:t>
      </w:r>
    </w:p>
    <w:p w14:paraId="2696613C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1.产出指标完成情况分析。</w:t>
      </w:r>
    </w:p>
    <w:p w14:paraId="4069EED7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（1）数量指标</w:t>
      </w:r>
    </w:p>
    <w:p w14:paraId="40C95593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城镇新增就业人数完成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10430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人；开展补贴性职业技能培训人数完成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1600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人；就业困难人员就业人数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682人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。</w:t>
      </w:r>
    </w:p>
    <w:p w14:paraId="45BFAF1E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（2）质量指标</w:t>
      </w:r>
    </w:p>
    <w:p w14:paraId="6EA3B8EF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年度预算资金严格执行相关文件和制度的规定，按照标准程序及时、足额、准确的发放。</w:t>
      </w:r>
    </w:p>
    <w:p w14:paraId="4DDA772A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（3）时效指标</w:t>
      </w:r>
    </w:p>
    <w:p w14:paraId="0215B0D8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年度预算资金及时支付到位。</w:t>
      </w:r>
    </w:p>
    <w:p w14:paraId="7C47383A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（4）成本指标。</w:t>
      </w:r>
    </w:p>
    <w:p w14:paraId="42A58EEF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 xml:space="preserve">资金遵照上级相关文件规定执行，严格控制成本。          </w:t>
      </w:r>
    </w:p>
    <w:p w14:paraId="17C7F6BE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2.效益指标完成情况分析。</w:t>
      </w:r>
    </w:p>
    <w:p w14:paraId="734239F8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（1）经济效益</w:t>
      </w:r>
    </w:p>
    <w:p w14:paraId="2C44D1F3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带动失业人员再就业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5352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人，完成目标任务数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160.7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%；</w:t>
      </w:r>
    </w:p>
    <w:p w14:paraId="18E59BFA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（2）社会效益</w:t>
      </w:r>
    </w:p>
    <w:p w14:paraId="1BFD6571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通过综合施策，多措并举，促进了高校毕业生等青年就业创业，稳定和扩大农民工就业，推动了乡村振兴，健全保障机制，推动了灵活就业人员和困难群体稳定就业，推进了零工市场建设，实现零就业家庭帮扶率98%，无因就业问题发生重大群体性事件。</w:t>
      </w:r>
    </w:p>
    <w:p w14:paraId="6ABF80A2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3.满意度指标完成情况分析。</w:t>
      </w:r>
    </w:p>
    <w:p w14:paraId="5D3296FE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衡阳市第六届“中国创翼”创业创新大赛，我县并荣获优秀项目奖5个，创翼之星奖1个，进一步激励了我县创业创新工作激情。打造“零工驿站”和园区“就业角”，加强就业岗位开发、收集，建立就业工作新阵地、拓展就业服务新渠道，进一步提升基层就业服务硬实力，深入推进充分就业社区（村）建设，促进县域劳动力就地就近就业，让群众实现“家前就业、转角实现”目标。深入开展“迎老乡、回故乡、建家乡”创业行动，统筹做好“创业培训、创业孵化、创业贷款、创业奖补、创业活动”各项工作，重点对带动就业能力强、发展前景好的初创企业给予创业贷款、创业奖补等政策扶持，营造创新创业的社会氛围，发挥创业带动就业倍增效应，达到公共就业服务满意度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85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%以上，就业扶持政策经办满意度9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%以上。</w:t>
      </w:r>
    </w:p>
    <w:p w14:paraId="22FD875D">
      <w:pPr>
        <w:widowControl/>
        <w:spacing w:line="600" w:lineRule="exact"/>
        <w:ind w:firstLine="645"/>
        <w:jc w:val="left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、项目绩效目标完成情况</w:t>
      </w:r>
    </w:p>
    <w:p w14:paraId="54A47866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无</w:t>
      </w:r>
    </w:p>
    <w:p w14:paraId="6A4ABEEB">
      <w:pPr>
        <w:widowControl/>
        <w:spacing w:line="600" w:lineRule="exact"/>
        <w:ind w:firstLine="645"/>
        <w:jc w:val="left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五、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存在问题原因分析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改进措施</w:t>
      </w:r>
    </w:p>
    <w:p w14:paraId="2559FE34">
      <w:pPr>
        <w:widowControl/>
        <w:spacing w:line="600" w:lineRule="exact"/>
        <w:ind w:firstLine="645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由于年初财政预算经费资金不足，年初安排的人头经费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投入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远远不够，每年存在根据年中情况酌量追加单位部分预算，导致部分经费开支较年初预算金额超支，也造成单位年初预算与年底决算收支的差异。</w:t>
      </w:r>
    </w:p>
    <w:p w14:paraId="463CAF46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下一步将继续完善内部管理工作，特别是在预算业务管理、收支业务管理、政府采购业务管理、资产管理及合同管理这五个方面的业务领域中加强建设，确保单位资金安全完整和有效使用，提高公共服务的效率和效果。</w:t>
      </w:r>
    </w:p>
    <w:p w14:paraId="4FBE922C">
      <w:pPr>
        <w:widowControl/>
        <w:spacing w:line="600" w:lineRule="exact"/>
        <w:ind w:firstLine="645"/>
        <w:jc w:val="left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六、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其他需要说明的情况</w:t>
      </w:r>
    </w:p>
    <w:p w14:paraId="2B4CE0FB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无</w:t>
      </w:r>
    </w:p>
    <w:p w14:paraId="7EABEC57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</w:p>
    <w:p w14:paraId="5307EA21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</w:p>
    <w:p w14:paraId="18C60F77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</w:p>
    <w:p w14:paraId="223E21D7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</w:p>
    <w:p w14:paraId="17218FDF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                             衡阳县就业服务中心</w:t>
      </w:r>
    </w:p>
    <w:p w14:paraId="37D74838"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                               2025年5月12日</w:t>
      </w:r>
    </w:p>
    <w:sectPr>
      <w:headerReference r:id="rId3" w:type="default"/>
      <w:footerReference r:id="rId4" w:type="default"/>
      <w:pgSz w:w="11906" w:h="16838"/>
      <w:pgMar w:top="1440" w:right="1689" w:bottom="1440" w:left="168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9F3720A-CE52-4400-8B87-30610616D19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34F1392-3AE8-44F3-B79B-E8328B53DEBC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EF7FA1C-2C95-49D0-AB81-4F6C43AEE3B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51C47ED-B684-4733-8CDD-615AD471A512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5" w:fontKey="{515C8C87-7048-4589-A02C-7D43FEC9D99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8186D7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9D88EC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94F1EC"/>
    <w:multiLevelType w:val="singleLevel"/>
    <w:tmpl w:val="DD94F1E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77E789D"/>
    <w:multiLevelType w:val="singleLevel"/>
    <w:tmpl w:val="277E789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hYTAzZDQzYjM2ZTA2ZDQwOTQ2OGVjMjIxMTcwZmYifQ=="/>
  </w:docVars>
  <w:rsids>
    <w:rsidRoot w:val="4C43681B"/>
    <w:rsid w:val="02D67969"/>
    <w:rsid w:val="052E6856"/>
    <w:rsid w:val="05FA06DD"/>
    <w:rsid w:val="068B5B47"/>
    <w:rsid w:val="09146FE7"/>
    <w:rsid w:val="0ACD31F6"/>
    <w:rsid w:val="0E017AD5"/>
    <w:rsid w:val="112751C0"/>
    <w:rsid w:val="189E6E29"/>
    <w:rsid w:val="1A086B2F"/>
    <w:rsid w:val="1BF35E31"/>
    <w:rsid w:val="1CF02EB4"/>
    <w:rsid w:val="1DE275E2"/>
    <w:rsid w:val="1DEF1689"/>
    <w:rsid w:val="1E6E543A"/>
    <w:rsid w:val="20D512C7"/>
    <w:rsid w:val="22155519"/>
    <w:rsid w:val="223165BD"/>
    <w:rsid w:val="22674BBC"/>
    <w:rsid w:val="25B739C8"/>
    <w:rsid w:val="27DA3663"/>
    <w:rsid w:val="2A2A1053"/>
    <w:rsid w:val="2A6D41ED"/>
    <w:rsid w:val="2B2F4273"/>
    <w:rsid w:val="2B854A2B"/>
    <w:rsid w:val="2BDB7330"/>
    <w:rsid w:val="2C0E7981"/>
    <w:rsid w:val="30B61B5B"/>
    <w:rsid w:val="34A72A00"/>
    <w:rsid w:val="3C0B6651"/>
    <w:rsid w:val="3D0160AB"/>
    <w:rsid w:val="3E2D187A"/>
    <w:rsid w:val="46406716"/>
    <w:rsid w:val="4C100001"/>
    <w:rsid w:val="4C43681B"/>
    <w:rsid w:val="4C923160"/>
    <w:rsid w:val="4CD01886"/>
    <w:rsid w:val="4CE11587"/>
    <w:rsid w:val="4E54656B"/>
    <w:rsid w:val="515651ED"/>
    <w:rsid w:val="519A5C81"/>
    <w:rsid w:val="55944FFF"/>
    <w:rsid w:val="57346A47"/>
    <w:rsid w:val="57D958FA"/>
    <w:rsid w:val="586E31CD"/>
    <w:rsid w:val="58EA42F7"/>
    <w:rsid w:val="592917C1"/>
    <w:rsid w:val="5DDF7AE8"/>
    <w:rsid w:val="5EC71852"/>
    <w:rsid w:val="60067FC1"/>
    <w:rsid w:val="60A52F4C"/>
    <w:rsid w:val="65994A7D"/>
    <w:rsid w:val="67776268"/>
    <w:rsid w:val="6778080A"/>
    <w:rsid w:val="687115B5"/>
    <w:rsid w:val="6C2E7CD3"/>
    <w:rsid w:val="6CB461FC"/>
    <w:rsid w:val="6DC431FB"/>
    <w:rsid w:val="71077625"/>
    <w:rsid w:val="76F61580"/>
    <w:rsid w:val="776C076D"/>
    <w:rsid w:val="79720854"/>
    <w:rsid w:val="7B88713B"/>
    <w:rsid w:val="7CB70893"/>
    <w:rsid w:val="7EE21A86"/>
    <w:rsid w:val="7FA1480D"/>
    <w:rsid w:val="7FF7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qFormat/>
    <w:uiPriority w:val="99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2302</Words>
  <Characters>2632</Characters>
  <Lines>0</Lines>
  <Paragraphs>0</Paragraphs>
  <TotalTime>19</TotalTime>
  <ScaleCrop>false</ScaleCrop>
  <LinksUpToDate>false</LinksUpToDate>
  <CharactersWithSpaces>2710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2024-03-05T00:23:00Z</dcterms:created>
  <dc:creator>Administrator</dc:creator>
  <cp:lastModifiedBy>超人不会飞</cp:lastModifiedBy>
  <cp:lastPrinted>2025-05-13T02:42:07Z</cp:lastPrinted>
  <dcterms:modified xsi:type="dcterms:W3CDTF">2025-05-13T02:54:38Z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61159E56E7C143EB98320C5025213085_13</vt:lpwstr>
  </property>
  <property fmtid="{D5CDD505-2E9C-101B-9397-08002B2CF9AE}" pid="4" name="KSOTemplateDocerSaveRecord">
    <vt:lpwstr>eyJoZGlkIjoiMGNhYTAzZDQzYjM2ZTA2ZDQwOTQ2OGVjMjIxMTcwZmYiLCJ1c2VySWQiOiIzNTY1NzUxODMifQ==</vt:lpwstr>
  </property>
</Properties>
</file>