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E6D4E8">
      <w:pPr>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附件</w:t>
      </w:r>
      <w:bookmarkStart w:id="2" w:name="_GoBack"/>
      <w:bookmarkEnd w:id="2"/>
    </w:p>
    <w:p w14:paraId="7F673550">
      <w:pPr>
        <w:jc w:val="center"/>
        <w:rPr>
          <w:rFonts w:hint="eastAsia" w:ascii="方正公文小标宋" w:hAnsi="方正公文小标宋" w:eastAsia="方正公文小标宋" w:cs="方正公文小标宋"/>
          <w:b/>
          <w:bCs/>
          <w:sz w:val="44"/>
          <w:szCs w:val="44"/>
        </w:rPr>
      </w:pPr>
      <w:r>
        <w:rPr>
          <w:rFonts w:hint="eastAsia" w:ascii="方正公文小标宋" w:hAnsi="方正公文小标宋" w:eastAsia="方正公文小标宋" w:cs="方正公文小标宋"/>
          <w:sz w:val="44"/>
          <w:szCs w:val="44"/>
        </w:rPr>
        <w:t>衡阳县政府投资重大建设项目稽察办法</w:t>
      </w:r>
    </w:p>
    <w:p w14:paraId="35752A69">
      <w:pPr>
        <w:jc w:val="center"/>
        <w:rPr>
          <w:rFonts w:hint="eastAsia" w:ascii="楷体" w:hAnsi="楷体" w:eastAsia="楷体"/>
          <w:b/>
          <w:bCs/>
          <w:sz w:val="32"/>
          <w:szCs w:val="32"/>
        </w:rPr>
      </w:pPr>
      <w:r>
        <w:rPr>
          <w:rFonts w:hint="eastAsia" w:ascii="楷体" w:hAnsi="楷体" w:eastAsia="楷体"/>
          <w:b/>
          <w:bCs/>
          <w:sz w:val="32"/>
          <w:szCs w:val="32"/>
        </w:rPr>
        <w:t>（</w:t>
      </w:r>
      <w:r>
        <w:rPr>
          <w:rFonts w:hint="eastAsia" w:ascii="楷体" w:hAnsi="楷体" w:eastAsia="楷体"/>
          <w:b/>
          <w:bCs/>
          <w:sz w:val="32"/>
          <w:szCs w:val="32"/>
          <w:lang w:val="en-US" w:eastAsia="zh-CN"/>
        </w:rPr>
        <w:t>征求意见</w:t>
      </w:r>
      <w:r>
        <w:rPr>
          <w:rFonts w:hint="eastAsia" w:ascii="楷体" w:hAnsi="楷体" w:eastAsia="楷体"/>
          <w:b/>
          <w:bCs/>
          <w:sz w:val="32"/>
          <w:szCs w:val="32"/>
        </w:rPr>
        <w:t>稿）</w:t>
      </w:r>
    </w:p>
    <w:p w14:paraId="7FB8C6FA">
      <w:pPr>
        <w:spacing w:line="580" w:lineRule="exact"/>
        <w:jc w:val="center"/>
        <w:rPr>
          <w:rFonts w:hint="eastAsia" w:ascii="黑体" w:hAnsi="黑体" w:eastAsia="黑体"/>
          <w:sz w:val="32"/>
          <w:szCs w:val="32"/>
        </w:rPr>
      </w:pPr>
      <w:r>
        <w:rPr>
          <w:rFonts w:hint="eastAsia" w:ascii="黑体" w:hAnsi="黑体" w:eastAsia="黑体"/>
          <w:sz w:val="32"/>
          <w:szCs w:val="32"/>
        </w:rPr>
        <w:t>第一章 总则</w:t>
      </w:r>
    </w:p>
    <w:p w14:paraId="6EB66120">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第一条</w:t>
      </w:r>
      <w:r>
        <w:rPr>
          <w:rFonts w:hint="eastAsia" w:ascii="仿宋_GB2312" w:eastAsia="仿宋_GB2312"/>
          <w:sz w:val="32"/>
          <w:szCs w:val="32"/>
        </w:rPr>
        <w:t xml:space="preserve"> 为了加强全县政府投资重大建设项目监督管理，规范政府投资重大建设项目稽察行为，保障政府投资重大建设项目工程质量和资金安全，提高投资效益，根据《中华人民共和国审计法》《国家重大建设项目稽察办法》（国办发〔2000〕54号）《湖南省重大建设项目稽察办法》（湘办发〔2001〕39号）的规定，结合我县实际，制定本办法。</w:t>
      </w:r>
    </w:p>
    <w:p w14:paraId="65B8EFA6">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第二条</w:t>
      </w:r>
      <w:r>
        <w:rPr>
          <w:rFonts w:hint="eastAsia" w:ascii="仿宋_GB2312" w:eastAsia="仿宋_GB2312"/>
          <w:sz w:val="32"/>
          <w:szCs w:val="32"/>
        </w:rPr>
        <w:t xml:space="preserve"> 本办法适用于本县行政区域内政府投资重大建设项目的稽察活动。本办法所称稽察是指稽察人员依照有关法律、法规和其他有关规定，对项目建设的前期工作、实施阶段、竣工验收、投产运营和后续管护全过程进行的监督检查和评价。</w:t>
      </w:r>
    </w:p>
    <w:p w14:paraId="02CEAA38">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第三条</w:t>
      </w:r>
      <w:r>
        <w:rPr>
          <w:rFonts w:hint="eastAsia" w:ascii="仿宋_GB2312" w:eastAsia="仿宋_GB2312"/>
          <w:sz w:val="32"/>
          <w:szCs w:val="32"/>
        </w:rPr>
        <w:t xml:space="preserve"> 本办法所称政府投资重大建设项目包括：</w:t>
      </w:r>
    </w:p>
    <w:p w14:paraId="4D64E3EF">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（一）全部或部分使用政府预算内资金投资的重大项目；</w:t>
      </w:r>
    </w:p>
    <w:p w14:paraId="32892D81">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（二）全部或部分使用政府融资的重大项目；</w:t>
      </w:r>
    </w:p>
    <w:p w14:paraId="53A38B00">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（三）全部或部分使用政府贷款、援助资金的重大项目；</w:t>
      </w:r>
    </w:p>
    <w:p w14:paraId="4418505F">
      <w:pPr>
        <w:tabs>
          <w:tab w:val="center" w:pos="4153"/>
          <w:tab w:val="right" w:pos="8306"/>
        </w:tabs>
        <w:spacing w:line="580" w:lineRule="exact"/>
        <w:ind w:firstLine="640" w:firstLineChars="200"/>
        <w:jc w:val="left"/>
        <w:rPr>
          <w:rFonts w:hint="eastAsia" w:ascii="仿宋_GB2312" w:eastAsia="仿宋_GB2312"/>
          <w:sz w:val="32"/>
          <w:szCs w:val="32"/>
        </w:rPr>
      </w:pPr>
      <w:r>
        <w:rPr>
          <w:rFonts w:hint="eastAsia" w:ascii="仿宋_GB2312" w:eastAsia="仿宋_GB2312"/>
          <w:sz w:val="32"/>
          <w:szCs w:val="32"/>
        </w:rPr>
        <w:t>（四）使用国有企事业单位资金实施的重大项目；</w:t>
      </w:r>
    </w:p>
    <w:p w14:paraId="73D03063">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（五）关系国家安全、公共利益的基础设施和公用事业重大项目；</w:t>
      </w:r>
    </w:p>
    <w:p w14:paraId="14DD4B0A">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（六）县委、县政府确定需要稽察的其它重大建设项目。</w:t>
      </w:r>
    </w:p>
    <w:p w14:paraId="089488E4">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第四条</w:t>
      </w:r>
      <w:r>
        <w:rPr>
          <w:rFonts w:hint="eastAsia" w:ascii="仿宋_GB2312" w:eastAsia="仿宋_GB2312"/>
          <w:sz w:val="32"/>
          <w:szCs w:val="32"/>
        </w:rPr>
        <w:t xml:space="preserve"> 政府投资重大建设项目稽察工作应坚持依法办事、客观公正、实事求是的原则。稽察与被稽察单位是监督与被监督的关系。稽察人员不参与、不干预被稽察单位的日常业务活动和经营管理活动。</w:t>
      </w:r>
    </w:p>
    <w:p w14:paraId="45544687">
      <w:pPr>
        <w:spacing w:line="580" w:lineRule="exact"/>
        <w:jc w:val="center"/>
        <w:rPr>
          <w:rFonts w:hint="eastAsia" w:ascii="黑体" w:hAnsi="黑体" w:eastAsia="黑体"/>
          <w:sz w:val="32"/>
          <w:szCs w:val="32"/>
        </w:rPr>
      </w:pPr>
      <w:r>
        <w:rPr>
          <w:rFonts w:hint="eastAsia" w:ascii="黑体" w:hAnsi="黑体" w:eastAsia="黑体"/>
          <w:sz w:val="32"/>
          <w:szCs w:val="32"/>
        </w:rPr>
        <w:t>第二章 稽察机构、职责及工作程序</w:t>
      </w:r>
    </w:p>
    <w:p w14:paraId="4D228F9F">
      <w:pPr>
        <w:spacing w:line="580" w:lineRule="exact"/>
        <w:ind w:firstLine="640" w:firstLineChars="200"/>
        <w:rPr>
          <w:rFonts w:hint="eastAsia" w:ascii="仿宋_GB2312" w:eastAsia="仿宋_GB2312"/>
          <w:strike/>
          <w:sz w:val="32"/>
          <w:szCs w:val="32"/>
        </w:rPr>
      </w:pPr>
      <w:r>
        <w:rPr>
          <w:rFonts w:hint="eastAsia" w:ascii="黑体" w:hAnsi="黑体" w:eastAsia="黑体"/>
          <w:sz w:val="32"/>
          <w:szCs w:val="32"/>
        </w:rPr>
        <w:t>第五条</w:t>
      </w:r>
      <w:r>
        <w:rPr>
          <w:rFonts w:hint="eastAsia" w:ascii="仿宋_GB2312" w:eastAsia="仿宋_GB2312"/>
          <w:sz w:val="32"/>
          <w:szCs w:val="32"/>
        </w:rPr>
        <w:t xml:space="preserve"> 县审计局负责全县政府投资重大建设项目稽察工作，编制稽察工作计划，组织实施稽察活动。</w:t>
      </w:r>
    </w:p>
    <w:p w14:paraId="2BEE7BBC">
      <w:pPr>
        <w:spacing w:line="580" w:lineRule="exact"/>
        <w:ind w:firstLine="640" w:firstLineChars="200"/>
        <w:rPr>
          <w:rFonts w:hint="eastAsia" w:ascii="仿宋_GB2312" w:eastAsia="仿宋_GB2312"/>
          <w:strike/>
          <w:sz w:val="32"/>
          <w:szCs w:val="32"/>
        </w:rPr>
      </w:pPr>
      <w:r>
        <w:rPr>
          <w:rFonts w:hint="eastAsia" w:ascii="黑体" w:hAnsi="黑体" w:eastAsia="黑体"/>
          <w:sz w:val="32"/>
          <w:szCs w:val="32"/>
        </w:rPr>
        <w:t>第六条</w:t>
      </w:r>
      <w:r>
        <w:rPr>
          <w:rFonts w:hint="eastAsia" w:ascii="仿宋_GB2312" w:eastAsia="仿宋_GB2312"/>
          <w:sz w:val="32"/>
          <w:szCs w:val="32"/>
        </w:rPr>
        <w:t xml:space="preserve"> </w:t>
      </w:r>
      <w:r>
        <w:rPr>
          <w:rFonts w:hint="eastAsia" w:ascii="仿宋" w:hAnsi="仿宋" w:eastAsia="仿宋" w:cs="仿宋"/>
          <w:sz w:val="32"/>
          <w:szCs w:val="32"/>
        </w:rPr>
        <w:t>县审计局及县固定资产投资审计事务中心负责组织开展政府投资重大建设项目稽察工作，负责制订年度稽察计划。</w:t>
      </w:r>
    </w:p>
    <w:p w14:paraId="770D9C7B">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 xml:space="preserve">第七条 </w:t>
      </w:r>
      <w:r>
        <w:rPr>
          <w:rFonts w:hint="eastAsia" w:ascii="仿宋_GB2312" w:eastAsia="仿宋_GB2312"/>
          <w:sz w:val="32"/>
          <w:szCs w:val="32"/>
        </w:rPr>
        <w:t>县审计局应当在实施稽察三日前，向被稽察单位送达稽察通知书；遇有特殊情况，稽察人员可以直接持稽察通知书实施稽察。政府投资重大建设项目稽察工作实行稽察组长负责制，一般配备二至三名稽察工作人员。县审计局根据工作需要，可以组织发改、财政、住建、交通运输、农业农村、水利、教育、卫健、自然资源、生态环境等有关部门人员联合进行稽察，也可以聘请有关专业技术人员参加稽察。</w:t>
      </w:r>
    </w:p>
    <w:p w14:paraId="60391BEF">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第八条</w:t>
      </w:r>
      <w:r>
        <w:rPr>
          <w:rFonts w:hint="eastAsia" w:ascii="仿宋_GB2312" w:eastAsia="仿宋_GB2312"/>
          <w:sz w:val="32"/>
          <w:szCs w:val="32"/>
        </w:rPr>
        <w:t xml:space="preserve"> 稽察组履行下列职责：</w:t>
      </w:r>
    </w:p>
    <w:p w14:paraId="09F18668">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（一）监督被稽察单位贯彻执行国家有关法律、法规和方针政策的情况，监督被稽察单位有关建设项目的决定是否符合法律、法规和规章制度规定的权限、程序；</w:t>
      </w:r>
    </w:p>
    <w:p w14:paraId="11BDEA73">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（二）监督检查被稽察单位建设项目的规划、立项审批、招标投标、开工建设条件、工程进度、工程质量、竣工验收和后续管护等情况，跟踪监测建设项目的实施情况； </w:t>
      </w:r>
    </w:p>
    <w:p w14:paraId="3DD7E6C3">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（三）监督检查被稽察单位政府投资重大建设项目资金使用、管理的合法性、合规性；</w:t>
      </w:r>
    </w:p>
    <w:p w14:paraId="1EBCAE65">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（四）监督检查被稽察单位是否严格执行投资计划，确保项目按照立项文件明确的投资规模和建设内容实施；</w:t>
      </w:r>
    </w:p>
    <w:p w14:paraId="477B0D37">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（五）监督检查被稽察单位（项目单位）及监管单位是否采取切实措施推进项目建设；</w:t>
      </w:r>
    </w:p>
    <w:p w14:paraId="56B6DD7B">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（六）监督检查财政部门是否及时拨付项目资金；</w:t>
      </w:r>
    </w:p>
    <w:p w14:paraId="405BA41B">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（七）县委、县政府交办的其他稽察事项。</w:t>
      </w:r>
    </w:p>
    <w:p w14:paraId="16B37348">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 xml:space="preserve">第九条 </w:t>
      </w:r>
      <w:r>
        <w:rPr>
          <w:rFonts w:hint="eastAsia" w:ascii="仿宋_GB2312" w:eastAsia="仿宋_GB2312"/>
          <w:sz w:val="32"/>
          <w:szCs w:val="32"/>
        </w:rPr>
        <w:t>对政府投资重大建设项目开展稽察工作可以采取下列方式：</w:t>
      </w:r>
    </w:p>
    <w:p w14:paraId="7D5A51F7">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（一）听取被稽察单位主要负责人有关建设项目的情况汇报，在被稽察单位召开与稽察事项有关的会议；</w:t>
      </w:r>
    </w:p>
    <w:p w14:paraId="0D077582">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（二）核查被稽察单位有关建设项目的财务报告、会计凭证、会计账簿等财务会计资料以及其他有关资料；</w:t>
      </w:r>
    </w:p>
    <w:p w14:paraId="7233AA9B">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（三）现场查验、核实建设项目的建设程序、招标投标、工程进度、工程质量等情况；</w:t>
      </w:r>
    </w:p>
    <w:p w14:paraId="4324E6DB">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（四）向县发改、财政、住建等有关部门及银行调查了解被稽察单位的资金使用、工程质量和经营管理情况；</w:t>
      </w:r>
    </w:p>
    <w:p w14:paraId="79B944C9">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（五）法律法规规定的其它措施。</w:t>
      </w:r>
    </w:p>
    <w:p w14:paraId="5390BC11">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第十条</w:t>
      </w:r>
      <w:r>
        <w:rPr>
          <w:rFonts w:hint="eastAsia" w:ascii="仿宋_GB2312" w:eastAsia="仿宋_GB2312"/>
          <w:sz w:val="32"/>
          <w:szCs w:val="32"/>
        </w:rPr>
        <w:t xml:space="preserve"> 被稽察单位应当如实向县审计局及稽察组提供与建设项目有关的文件、合同、协议、报表等资料和情况，报告建设和管理过程中的重大事项，不得拒绝、隐匿、伪报。 </w:t>
      </w:r>
    </w:p>
    <w:p w14:paraId="728BCB7D">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第十一条</w:t>
      </w:r>
      <w:r>
        <w:rPr>
          <w:rFonts w:hint="eastAsia" w:ascii="仿宋_GB2312" w:eastAsia="仿宋_GB2312"/>
          <w:sz w:val="32"/>
          <w:szCs w:val="32"/>
        </w:rPr>
        <w:t xml:space="preserve"> 任何单位和个人对全县政府投资重大建设项目建设过程中发生的违法违规行为，有权向县审计局投诉或举报，县审计局对受理的投诉和举报，应组织核查处理或者按管理权限转交有关部门处理。</w:t>
      </w:r>
    </w:p>
    <w:p w14:paraId="780A6927">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第十二条</w:t>
      </w:r>
      <w:r>
        <w:rPr>
          <w:rFonts w:hint="eastAsia" w:ascii="仿宋_GB2312" w:eastAsia="仿宋_GB2312"/>
          <w:sz w:val="32"/>
          <w:szCs w:val="32"/>
        </w:rPr>
        <w:t xml:space="preserve"> 各乡镇党委、政府和县直各部门应当支持、配合稽察工作，如实提供被稽察单位的有关情况和资料。县审计局应当加强同县监委、发改、财政、住建、交通运输、农业农村、水利、教育、卫健、自然资源、生态环境等部门及金融机构的联系，相互通报有关情况。</w:t>
      </w:r>
    </w:p>
    <w:p w14:paraId="4270E8FD">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第十三条</w:t>
      </w:r>
      <w:r>
        <w:rPr>
          <w:rFonts w:hint="eastAsia" w:ascii="仿宋_GB2312" w:eastAsia="仿宋_GB2312"/>
          <w:sz w:val="32"/>
          <w:szCs w:val="32"/>
        </w:rPr>
        <w:t xml:space="preserve"> 稽察工作中发现的问题，应当向被稽察单位核实情况，听取陈述和申辩，被稽察单位提出异议的，县审计局应当予以核实回复。</w:t>
      </w:r>
    </w:p>
    <w:p w14:paraId="00A71A70">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第十四条</w:t>
      </w:r>
      <w:r>
        <w:rPr>
          <w:rFonts w:hint="eastAsia" w:ascii="仿宋_GB2312" w:eastAsia="仿宋_GB2312"/>
          <w:sz w:val="32"/>
          <w:szCs w:val="32"/>
        </w:rPr>
        <w:t xml:space="preserve"> 县审计局每次对政府投资重大建设项目进行的稽察工作结束后，应当及时提交稽察报告。稽察报告的内容包括：</w:t>
      </w:r>
    </w:p>
    <w:p w14:paraId="25ADFD13">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（一）建设项目是否履行了法定审批程序；</w:t>
      </w:r>
    </w:p>
    <w:p w14:paraId="1ED29933">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（二）建设项目资金使用、概算控制的分析评价；</w:t>
      </w:r>
    </w:p>
    <w:p w14:paraId="104BE999">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（三）招标投标、工程质量、工程进度等情况的分析评价；</w:t>
      </w:r>
    </w:p>
    <w:p w14:paraId="6EA68DA2">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（四）建设项目存在的问题及处理建议；</w:t>
      </w:r>
    </w:p>
    <w:p w14:paraId="0694635C">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（五）县审计局要求报告的或者稽察认为需要报告的其他事项。</w:t>
      </w:r>
    </w:p>
    <w:p w14:paraId="05B47C4B">
      <w:pPr>
        <w:spacing w:line="580" w:lineRule="exact"/>
        <w:ind w:firstLine="640" w:firstLineChars="200"/>
        <w:rPr>
          <w:rFonts w:hint="eastAsia" w:ascii="仿宋" w:hAnsi="仿宋" w:eastAsia="仿宋" w:cs="仿宋"/>
          <w:sz w:val="32"/>
          <w:szCs w:val="32"/>
        </w:rPr>
      </w:pPr>
      <w:r>
        <w:rPr>
          <w:rFonts w:hint="eastAsia" w:ascii="仿宋_GB2312" w:eastAsia="仿宋_GB2312"/>
          <w:sz w:val="32"/>
          <w:szCs w:val="32"/>
        </w:rPr>
        <w:t xml:space="preserve"> </w:t>
      </w:r>
      <w:r>
        <w:rPr>
          <w:rFonts w:hint="eastAsia" w:ascii="黑体" w:hAnsi="黑体" w:eastAsia="黑体"/>
          <w:sz w:val="32"/>
          <w:szCs w:val="32"/>
        </w:rPr>
        <w:t>第十五条</w:t>
      </w:r>
      <w:r>
        <w:rPr>
          <w:rFonts w:hint="eastAsia" w:ascii="仿宋_GB2312" w:eastAsia="仿宋_GB2312"/>
          <w:sz w:val="32"/>
          <w:szCs w:val="32"/>
        </w:rPr>
        <w:t xml:space="preserve"> 稽察报告应当书面征求被稽察单位意见，稽察报告由稽察组负责提出，经县固定资产投资审计事务中心审核后，报县审计局审定；重大事项和情况，由县审计局报告</w:t>
      </w:r>
      <w:r>
        <w:rPr>
          <w:rFonts w:hint="eastAsia" w:ascii="仿宋" w:hAnsi="仿宋" w:eastAsia="仿宋" w:cs="仿宋"/>
          <w:sz w:val="32"/>
          <w:szCs w:val="32"/>
        </w:rPr>
        <w:t>县政府主要领导。</w:t>
      </w:r>
    </w:p>
    <w:p w14:paraId="781101BD">
      <w:pPr>
        <w:spacing w:line="580" w:lineRule="exact"/>
        <w:ind w:firstLine="640" w:firstLineChars="200"/>
        <w:rPr>
          <w:rFonts w:hint="eastAsia" w:ascii="仿宋" w:hAnsi="仿宋" w:eastAsia="仿宋" w:cs="仿宋"/>
          <w:sz w:val="32"/>
          <w:szCs w:val="32"/>
        </w:rPr>
      </w:pPr>
      <w:r>
        <w:rPr>
          <w:rFonts w:hint="eastAsia" w:ascii="黑体" w:hAnsi="黑体" w:eastAsia="黑体"/>
          <w:sz w:val="32"/>
          <w:szCs w:val="32"/>
        </w:rPr>
        <w:t>第十六条</w:t>
      </w:r>
      <w:r>
        <w:rPr>
          <w:rFonts w:hint="eastAsia" w:ascii="仿宋_GB2312" w:eastAsia="仿宋_GB2312"/>
          <w:sz w:val="32"/>
          <w:szCs w:val="32"/>
        </w:rPr>
        <w:t xml:space="preserve"> 稽察组在工作中发现被稽察单位的行为有可能危及建设项目工程安全、造成国有资产流失或者侵害国有资产所有者权益以及稽察人员认为应立即报告的其他紧急情况，应及时向县审计局提出专题报告，并上报</w:t>
      </w:r>
      <w:r>
        <w:rPr>
          <w:rFonts w:hint="eastAsia" w:ascii="仿宋" w:hAnsi="仿宋" w:eastAsia="仿宋" w:cs="仿宋"/>
          <w:sz w:val="32"/>
          <w:szCs w:val="32"/>
        </w:rPr>
        <w:t>县政府主要领导。</w:t>
      </w:r>
    </w:p>
    <w:p w14:paraId="3F7CAE37">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第十七条</w:t>
      </w:r>
      <w:r>
        <w:rPr>
          <w:rFonts w:hint="eastAsia" w:ascii="仿宋_GB2312" w:eastAsia="仿宋_GB2312"/>
          <w:sz w:val="32"/>
          <w:szCs w:val="32"/>
        </w:rPr>
        <w:t xml:space="preserve"> 政府投资重大建设项目稽察工作实行回避制度。稽察人员与被稽察单位或稽察事项有利害关系的，或者因其他原因可能影响稽察公正性的，应当回避。被稽察单位认为稽察人员应当回避的，可以申请回避，由县审计局决定是否准予回避。</w:t>
      </w:r>
    </w:p>
    <w:p w14:paraId="2D3445E1">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第十八条</w:t>
      </w:r>
      <w:r>
        <w:rPr>
          <w:rFonts w:hint="eastAsia" w:ascii="仿宋_GB2312" w:eastAsia="仿宋_GB2312"/>
          <w:sz w:val="32"/>
          <w:szCs w:val="32"/>
        </w:rPr>
        <w:t xml:space="preserve"> 县审计局开展稽察工作所需经费纳入财政预算。</w:t>
      </w:r>
    </w:p>
    <w:p w14:paraId="496990AB">
      <w:pPr>
        <w:spacing w:line="580" w:lineRule="exact"/>
        <w:jc w:val="center"/>
        <w:rPr>
          <w:rFonts w:hint="eastAsia" w:ascii="黑体" w:hAnsi="黑体" w:eastAsia="黑体"/>
          <w:sz w:val="32"/>
          <w:szCs w:val="32"/>
        </w:rPr>
      </w:pPr>
      <w:r>
        <w:rPr>
          <w:rFonts w:hint="eastAsia" w:ascii="黑体" w:hAnsi="黑体" w:eastAsia="黑体"/>
          <w:sz w:val="32"/>
          <w:szCs w:val="32"/>
        </w:rPr>
        <w:t>第三章 稽察人员工作职责</w:t>
      </w:r>
    </w:p>
    <w:p w14:paraId="71DFD858">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第十九条</w:t>
      </w:r>
      <w:r>
        <w:rPr>
          <w:rFonts w:hint="eastAsia" w:ascii="仿宋_GB2312" w:eastAsia="仿宋_GB2312"/>
          <w:sz w:val="32"/>
          <w:szCs w:val="32"/>
        </w:rPr>
        <w:t xml:space="preserve"> 稽察人员（稽察工作人员及聘请的专业技术人员，下同）应当履行以下工作职责：</w:t>
      </w:r>
    </w:p>
    <w:p w14:paraId="337B9B36">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（一）依法行使职权，坚持原则，秉公办事，自觉维护国家利益；</w:t>
      </w:r>
    </w:p>
    <w:p w14:paraId="27FE282E">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（二）客观公正、实事求是地反映项目建设的情况和问题；</w:t>
      </w:r>
    </w:p>
    <w:p w14:paraId="5C584413">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（三）对被稽察单位反映的需要上级部门或其他单位协助解决的事项，应当及时向县稽察领导小组办公室反映情况；</w:t>
      </w:r>
    </w:p>
    <w:p w14:paraId="4138852A">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（四）</w:t>
      </w:r>
      <w:r>
        <w:rPr>
          <w:rFonts w:hint="eastAsia" w:ascii="仿宋" w:hAnsi="仿宋" w:eastAsia="仿宋" w:cs="仿宋"/>
          <w:sz w:val="32"/>
          <w:szCs w:val="32"/>
        </w:rPr>
        <w:t>应当严格执行中央八项规定及其实施细则精神、</w:t>
      </w:r>
      <w:r>
        <w:rPr>
          <w:rFonts w:hint="eastAsia" w:ascii="仿宋_GB2312" w:eastAsia="仿宋_GB2312"/>
          <w:sz w:val="32"/>
          <w:szCs w:val="32"/>
        </w:rPr>
        <w:t>审计“四严禁”工作要求和“八不准”工作纪律等各项规章制度，自觉接受群众监督。</w:t>
      </w:r>
    </w:p>
    <w:p w14:paraId="30596431">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第二十条</w:t>
      </w:r>
      <w:r>
        <w:rPr>
          <w:rFonts w:hint="eastAsia" w:ascii="仿宋_GB2312" w:eastAsia="仿宋_GB2312"/>
          <w:sz w:val="32"/>
          <w:szCs w:val="32"/>
        </w:rPr>
        <w:t xml:space="preserve"> 稽察人员开展稽察工作时可以采取下列方式：</w:t>
      </w:r>
    </w:p>
    <w:p w14:paraId="70656DA9">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（一）要求项目单位提供与稽察有关的文件、资料、数据，查阅项目单位的会计账簿、会计凭证等财务资料，必要时可对有关人员进行询问、函询；</w:t>
      </w:r>
    </w:p>
    <w:p w14:paraId="7E2CDFA1">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（二）向项目参建单位、设备材料供应商以及与建设项目有关联的企事业单位和个人调查和了解有关情况，必要时也可依法查阅或调取以上单位的会计账簿、会计凭证等有关资料；</w:t>
      </w:r>
    </w:p>
    <w:p w14:paraId="1A8C31C8">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（三）根据工作需要，可以商请县直有关部门提供相关资料；</w:t>
      </w:r>
    </w:p>
    <w:p w14:paraId="0F5E76BD">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（四）进入施工、仓储、办公、检测、试验等与项目建设有关的场所和地点进行现场查验和取证；</w:t>
      </w:r>
    </w:p>
    <w:p w14:paraId="35FDE32A">
      <w:pPr>
        <w:spacing w:line="580" w:lineRule="exact"/>
        <w:ind w:firstLine="640" w:firstLineChars="200"/>
        <w:rPr>
          <w:rFonts w:hint="eastAsia" w:ascii="黑体" w:hAnsi="黑体" w:eastAsia="黑体"/>
          <w:sz w:val="32"/>
          <w:szCs w:val="32"/>
        </w:rPr>
      </w:pPr>
      <w:r>
        <w:rPr>
          <w:rFonts w:hint="eastAsia" w:ascii="仿宋_GB2312" w:eastAsia="仿宋_GB2312"/>
          <w:sz w:val="32"/>
          <w:szCs w:val="32"/>
        </w:rPr>
        <w:t>（五）对项目初步设计审查、施工图设计审查、招投标、工程变更、竣工验收等重大活动进行监督。</w:t>
      </w:r>
    </w:p>
    <w:p w14:paraId="68008611">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第二十一条</w:t>
      </w:r>
      <w:r>
        <w:rPr>
          <w:rFonts w:hint="eastAsia" w:ascii="仿宋_GB2312" w:eastAsia="仿宋_GB2312"/>
          <w:sz w:val="32"/>
          <w:szCs w:val="32"/>
        </w:rPr>
        <w:t xml:space="preserve"> 稽察人员对其在执行职务中知悉的国家秘密和被稽察单位的商业秘密，负有保密的义务。</w:t>
      </w:r>
    </w:p>
    <w:p w14:paraId="772422C6">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第二十二条</w:t>
      </w:r>
      <w:r>
        <w:rPr>
          <w:rFonts w:hint="eastAsia" w:ascii="仿宋_GB2312" w:eastAsia="仿宋_GB2312"/>
          <w:sz w:val="32"/>
          <w:szCs w:val="32"/>
        </w:rPr>
        <w:t xml:space="preserve"> 稽察人员在履行职责中，不得接受被稽察单位的任何馈赠、报酬、福利待遇，不得在被稽察单位报销费用，不得参加被稽察单位安排、组织或者支付费用的宴请、娱乐、旅游、出访等活动，不得在被稽察单位为自己、亲友或者其他人谋取私利。</w:t>
      </w:r>
    </w:p>
    <w:p w14:paraId="4056F5A6">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w:t>
      </w:r>
      <w:r>
        <w:rPr>
          <w:rFonts w:hint="eastAsia" w:ascii="黑体" w:hAnsi="黑体" w:eastAsia="黑体"/>
          <w:sz w:val="32"/>
          <w:szCs w:val="32"/>
        </w:rPr>
        <w:t>第二十三条</w:t>
      </w:r>
      <w:r>
        <w:rPr>
          <w:rFonts w:hint="eastAsia" w:ascii="仿宋_GB2312" w:eastAsia="仿宋_GB2312"/>
          <w:sz w:val="32"/>
          <w:szCs w:val="32"/>
        </w:rPr>
        <w:t xml:space="preserve"> 稽察人员在稽察工作中成绩突出的，给予相应表彰奖励。</w:t>
      </w:r>
    </w:p>
    <w:p w14:paraId="631AB48C">
      <w:pPr>
        <w:spacing w:line="580" w:lineRule="exact"/>
        <w:jc w:val="center"/>
        <w:rPr>
          <w:rFonts w:hint="eastAsia" w:ascii="黑体" w:hAnsi="黑体" w:eastAsia="黑体"/>
          <w:sz w:val="32"/>
          <w:szCs w:val="32"/>
        </w:rPr>
      </w:pPr>
      <w:r>
        <w:rPr>
          <w:rFonts w:hint="eastAsia" w:ascii="黑体" w:hAnsi="黑体" w:eastAsia="黑体"/>
          <w:sz w:val="32"/>
          <w:szCs w:val="32"/>
        </w:rPr>
        <w:t>第四章 法律责任</w:t>
      </w:r>
    </w:p>
    <w:p w14:paraId="128D577F">
      <w:pPr>
        <w:spacing w:line="580" w:lineRule="exact"/>
        <w:ind w:firstLine="640" w:firstLineChars="200"/>
        <w:rPr>
          <w:rFonts w:hint="eastAsia" w:ascii="黑体" w:hAnsi="黑体" w:eastAsia="黑体"/>
          <w:sz w:val="32"/>
          <w:szCs w:val="32"/>
        </w:rPr>
      </w:pPr>
      <w:r>
        <w:rPr>
          <w:rFonts w:hint="eastAsia" w:ascii="黑体" w:hAnsi="黑体" w:eastAsia="黑体"/>
          <w:sz w:val="32"/>
          <w:szCs w:val="32"/>
        </w:rPr>
        <w:t xml:space="preserve">第二十四条 </w:t>
      </w:r>
      <w:r>
        <w:rPr>
          <w:rFonts w:hint="eastAsia" w:ascii="仿宋_GB2312" w:eastAsia="仿宋_GB2312"/>
          <w:sz w:val="32"/>
          <w:szCs w:val="32"/>
        </w:rPr>
        <w:t>稽察人员依法执行公务受法律保护，任何组织和个人不得拒绝、阻碍稽察人员依法执行公务，不得打击报复稽察人员。</w:t>
      </w:r>
    </w:p>
    <w:p w14:paraId="5362678C">
      <w:pPr>
        <w:spacing w:line="580" w:lineRule="exact"/>
        <w:ind w:firstLine="640" w:firstLineChars="200"/>
        <w:rPr>
          <w:rFonts w:hint="eastAsia" w:ascii="仿宋_GB2312" w:eastAsia="仿宋_GB2312"/>
          <w:sz w:val="32"/>
          <w:szCs w:val="32"/>
        </w:rPr>
      </w:pPr>
      <w:bookmarkStart w:id="0" w:name="_Hlk104215398"/>
      <w:r>
        <w:rPr>
          <w:rFonts w:hint="eastAsia" w:ascii="黑体" w:hAnsi="黑体" w:eastAsia="黑体"/>
          <w:sz w:val="32"/>
          <w:szCs w:val="32"/>
        </w:rPr>
        <w:t>第二十五条</w:t>
      </w:r>
      <w:bookmarkEnd w:id="0"/>
      <w:r>
        <w:rPr>
          <w:rFonts w:hint="eastAsia" w:ascii="仿宋_GB2312" w:eastAsia="仿宋_GB2312"/>
          <w:sz w:val="32"/>
          <w:szCs w:val="32"/>
        </w:rPr>
        <w:t xml:space="preserve"> 被稽察单位发现稽察人员有违反本办法第二十一条和第二十二条中的所列行为时，应当向相关部门举报。</w:t>
      </w:r>
    </w:p>
    <w:p w14:paraId="012B397C">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第二十六条</w:t>
      </w:r>
      <w:r>
        <w:rPr>
          <w:rFonts w:hint="eastAsia" w:ascii="仿宋_GB2312" w:eastAsia="仿宋_GB2312"/>
          <w:sz w:val="32"/>
          <w:szCs w:val="32"/>
        </w:rPr>
        <w:t xml:space="preserve"> 被稽察单位违反项目建设管理规定的，审计机关可以根据情节轻重作出以下处理，涉嫌违法违纪的依法移送相关部门处理：</w:t>
      </w:r>
    </w:p>
    <w:p w14:paraId="7248F26E">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（一）发出整改通知书，责令限期改正；</w:t>
      </w:r>
    </w:p>
    <w:p w14:paraId="7389627D">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（二）通报批评；</w:t>
      </w:r>
    </w:p>
    <w:p w14:paraId="78945CCD">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（三）依法责令相关部门暂停拨付项目建设资金，已拨付的建设资金责令予以追缴；</w:t>
      </w:r>
    </w:p>
    <w:p w14:paraId="6EB92D5D">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（四）依法责令相关部门、单位暂停项目建设。</w:t>
      </w:r>
    </w:p>
    <w:p w14:paraId="510E4398">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第二十七条</w:t>
      </w:r>
      <w:r>
        <w:rPr>
          <w:rFonts w:hint="eastAsia" w:ascii="仿宋_GB2312" w:eastAsia="仿宋_GB2312"/>
          <w:sz w:val="32"/>
          <w:szCs w:val="32"/>
        </w:rPr>
        <w:t xml:space="preserve"> 县审计局发出限期整改通知书后，应当跟踪监督整改情况，并及时组织复查。</w:t>
      </w:r>
    </w:p>
    <w:p w14:paraId="2B43ECF8">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第二十八条</w:t>
      </w:r>
      <w:r>
        <w:rPr>
          <w:rFonts w:hint="eastAsia" w:ascii="仿宋_GB2312" w:eastAsia="仿宋_GB2312"/>
          <w:sz w:val="32"/>
          <w:szCs w:val="32"/>
        </w:rPr>
        <w:t xml:space="preserve"> 被稽察单位有下列行为之一的，对相应责任人员移交相关职能部门给予追责问责，构成犯罪的依法追究刑事责任：</w:t>
      </w:r>
    </w:p>
    <w:p w14:paraId="67E6BC42">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（一）拒绝、阻碍稽察人员依法履行职责的；</w:t>
      </w:r>
    </w:p>
    <w:p w14:paraId="19D12BD6">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（二）拒绝、无故拖延向稽察人员提供财务、工程质量、经营管理等有关情况和资料的；</w:t>
      </w:r>
    </w:p>
    <w:p w14:paraId="088B6DE3">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（三）隐匿不报或故意提供虚假资料的；</w:t>
      </w:r>
    </w:p>
    <w:p w14:paraId="68035955">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（四）有妨碍稽察人员依法履行职责的其他行为的。</w:t>
      </w:r>
    </w:p>
    <w:p w14:paraId="6386F0BC">
      <w:pPr>
        <w:spacing w:line="580" w:lineRule="exact"/>
        <w:ind w:firstLine="640" w:firstLineChars="200"/>
        <w:rPr>
          <w:rFonts w:hint="eastAsia" w:ascii="仿宋_GB2312" w:eastAsia="仿宋_GB2312"/>
          <w:sz w:val="32"/>
          <w:szCs w:val="32"/>
        </w:rPr>
      </w:pPr>
      <w:r>
        <w:rPr>
          <w:rFonts w:hint="eastAsia" w:ascii="黑体" w:hAnsi="黑体" w:eastAsia="黑体"/>
          <w:sz w:val="32"/>
          <w:szCs w:val="32"/>
        </w:rPr>
        <w:t>第二十九条</w:t>
      </w:r>
      <w:r>
        <w:rPr>
          <w:rFonts w:hint="eastAsia" w:ascii="仿宋_GB2312" w:eastAsia="仿宋_GB2312"/>
          <w:sz w:val="32"/>
          <w:szCs w:val="32"/>
        </w:rPr>
        <w:t xml:space="preserve"> 稽察人员有下列行为之一的，依法给予行政处分，构成犯罪的，依法追究刑事责任：</w:t>
      </w:r>
    </w:p>
    <w:p w14:paraId="4ACE5ADA">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（一）对稽察工作中发现的重大违法违规行为，隐匿不报或者故意不按规定处理的；</w:t>
      </w:r>
    </w:p>
    <w:p w14:paraId="69802F04">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（二）与被稽察单位串通编造虚假稽察报告的；</w:t>
      </w:r>
    </w:p>
    <w:p w14:paraId="759893C7">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（三）参与或者干预被稽察单位项目建设和生产经营活动的；</w:t>
      </w:r>
    </w:p>
    <w:p w14:paraId="796A25A3">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（四）收受、索取被稽察单位的馈赠、报酬的，或者利用职务便利谋取非法利益的；</w:t>
      </w:r>
    </w:p>
    <w:p w14:paraId="7832D13A">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（五）捏造、歪曲事实，隐瞒、缩小或者夸大稽察中发现问题的；</w:t>
      </w:r>
    </w:p>
    <w:p w14:paraId="50919761">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（六）其他滥用职权、玩忽职守、徇私舞弊的行为。</w:t>
      </w:r>
    </w:p>
    <w:p w14:paraId="7C694112">
      <w:pPr>
        <w:spacing w:line="580" w:lineRule="exact"/>
        <w:jc w:val="center"/>
        <w:rPr>
          <w:rFonts w:hint="eastAsia" w:ascii="黑体" w:hAnsi="黑体" w:eastAsia="黑体"/>
          <w:sz w:val="32"/>
          <w:szCs w:val="32"/>
        </w:rPr>
      </w:pPr>
      <w:r>
        <w:rPr>
          <w:rFonts w:hint="eastAsia" w:ascii="黑体" w:hAnsi="黑体" w:eastAsia="黑体"/>
          <w:sz w:val="32"/>
          <w:szCs w:val="32"/>
        </w:rPr>
        <w:t>第五章 附则</w:t>
      </w:r>
    </w:p>
    <w:p w14:paraId="6CF251C3">
      <w:pPr>
        <w:spacing w:line="580" w:lineRule="exact"/>
        <w:ind w:firstLine="640" w:firstLineChars="200"/>
        <w:rPr>
          <w:rFonts w:hint="eastAsia" w:ascii="仿宋_GB2312" w:eastAsia="仿宋_GB2312"/>
          <w:strike/>
          <w:sz w:val="32"/>
          <w:szCs w:val="32"/>
        </w:rPr>
      </w:pPr>
      <w:r>
        <w:rPr>
          <w:rFonts w:hint="eastAsia" w:ascii="黑体" w:hAnsi="黑体" w:eastAsia="黑体"/>
          <w:sz w:val="32"/>
          <w:szCs w:val="32"/>
        </w:rPr>
        <w:t>第三十条</w:t>
      </w:r>
      <w:r>
        <w:rPr>
          <w:rFonts w:hint="eastAsia" w:ascii="仿宋_GB2312" w:eastAsia="仿宋_GB2312"/>
          <w:sz w:val="32"/>
          <w:szCs w:val="32"/>
        </w:rPr>
        <w:t xml:space="preserve"> 本办法自发布之日起施行。</w:t>
      </w:r>
      <w:bookmarkStart w:id="1" w:name="_Hlk96694768"/>
      <w:r>
        <w:rPr>
          <w:rFonts w:hint="eastAsia" w:ascii="仿宋_GB2312" w:eastAsia="仿宋_GB2312"/>
          <w:strike/>
          <w:sz w:val="32"/>
          <w:szCs w:val="32"/>
        </w:rPr>
        <w:t xml:space="preserve"> </w:t>
      </w:r>
      <w:bookmarkEnd w:id="1"/>
    </w:p>
    <w:p w14:paraId="27379A5B">
      <w:pPr>
        <w:spacing w:line="580" w:lineRule="exact"/>
        <w:ind w:firstLine="645"/>
        <w:rPr>
          <w:rFonts w:hint="eastAsia" w:ascii="仿宋_GB2312" w:eastAsia="仿宋_GB2312"/>
          <w:sz w:val="32"/>
          <w:szCs w:val="32"/>
        </w:rPr>
      </w:pPr>
    </w:p>
    <w:p w14:paraId="1B2959EC">
      <w:pPr>
        <w:spacing w:line="580" w:lineRule="exact"/>
        <w:ind w:firstLine="645"/>
        <w:rPr>
          <w:rFonts w:hint="eastAsia" w:ascii="仿宋_GB2312" w:eastAsia="仿宋_GB2312"/>
          <w:sz w:val="32"/>
          <w:szCs w:val="32"/>
        </w:rPr>
      </w:pPr>
    </w:p>
    <w:p w14:paraId="5ED29C13">
      <w:pPr>
        <w:spacing w:line="580" w:lineRule="exact"/>
        <w:rPr>
          <w:rFonts w:hint="eastAsia" w:ascii="仿宋_GB2312" w:eastAsia="仿宋_GB2312"/>
          <w:sz w:val="32"/>
          <w:szCs w:val="32"/>
        </w:rPr>
      </w:pPr>
    </w:p>
    <w:sectPr>
      <w:footerReference r:id="rId3" w:type="default"/>
      <w:pgSz w:w="11906" w:h="16838"/>
      <w:pgMar w:top="1701" w:right="1474" w:bottom="113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377EF4B-BCC0-49A5-AEA8-87FF83DD8DC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FF01EBD-76F4-4B59-BDD8-7834DD7FD994}"/>
  </w:font>
  <w:font w:name="等线">
    <w:panose1 w:val="02010600030101010101"/>
    <w:charset w:val="86"/>
    <w:family w:val="auto"/>
    <w:pitch w:val="default"/>
    <w:sig w:usb0="A00002BF" w:usb1="38CF7CFA" w:usb2="00000016" w:usb3="00000000" w:csb0="0004000F" w:csb1="00000000"/>
    <w:embedRegular r:id="rId3" w:fontKey="{4862C74E-030F-44BB-9456-0836135B7DB8}"/>
  </w:font>
  <w:font w:name="方正公文小标宋">
    <w:panose1 w:val="02000500000000000000"/>
    <w:charset w:val="86"/>
    <w:family w:val="auto"/>
    <w:pitch w:val="default"/>
    <w:sig w:usb0="A00002BF" w:usb1="38CF7CFA" w:usb2="00000016" w:usb3="00000000" w:csb0="00040001" w:csb1="00000000"/>
    <w:embedRegular r:id="rId4" w:fontKey="{A0DF8B16-33CA-479C-A4B8-3985A47399B6}"/>
  </w:font>
  <w:font w:name="楷体">
    <w:panose1 w:val="02010609060101010101"/>
    <w:charset w:val="86"/>
    <w:family w:val="modern"/>
    <w:pitch w:val="default"/>
    <w:sig w:usb0="800002BF" w:usb1="38CF7CFA" w:usb2="00000016" w:usb3="00000000" w:csb0="00040001" w:csb1="00000000"/>
    <w:embedRegular r:id="rId5" w:fontKey="{00821595-5026-4477-AC3E-AC3E683EFA4F}"/>
  </w:font>
  <w:font w:name="仿宋_GB2312">
    <w:panose1 w:val="02010609030101010101"/>
    <w:charset w:val="86"/>
    <w:family w:val="modern"/>
    <w:pitch w:val="default"/>
    <w:sig w:usb0="00000001" w:usb1="080E0000" w:usb2="00000000" w:usb3="00000000" w:csb0="00040000" w:csb1="00000000"/>
    <w:embedRegular r:id="rId6" w:fontKey="{E959964D-86F7-408C-9FB6-B2E6832A08B1}"/>
  </w:font>
  <w:font w:name="仿宋">
    <w:panose1 w:val="02010609060101010101"/>
    <w:charset w:val="86"/>
    <w:family w:val="modern"/>
    <w:pitch w:val="default"/>
    <w:sig w:usb0="800002BF" w:usb1="38CF7CFA" w:usb2="00000016" w:usb3="00000000" w:csb0="00040001" w:csb1="00000000"/>
    <w:embedRegular r:id="rId7" w:fontKey="{A98EE31C-A75C-4C9C-9B04-25576BEC60C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94F89">
    <w:pPr>
      <w:tabs>
        <w:tab w:val="center" w:pos="4153"/>
        <w:tab w:val="right" w:pos="8306"/>
      </w:tabs>
      <w:snapToGrid w:val="0"/>
      <w:jc w:val="left"/>
      <w:rPr>
        <w:rFonts w:hint="eastAsia"/>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Calibri" w:hAnsi="Calibri" w:eastAsia="宋体" w:cs="Times New Roman"/>
                              <w:sz w:val="18"/>
                              <w:szCs w:val="24"/>
                            </w:rPr>
                            <w:id w:val="-916329726"/>
                          </w:sdtPr>
                          <w:sdtEndPr>
                            <w:rPr>
                              <w:rFonts w:ascii="Calibri" w:hAnsi="Calibri" w:eastAsia="宋体" w:cs="Times New Roman"/>
                              <w:sz w:val="18"/>
                              <w:szCs w:val="24"/>
                            </w:rPr>
                          </w:sdtEndPr>
                          <w:sdtContent>
                            <w:p w14:paraId="52D28382">
                              <w:pPr>
                                <w:tabs>
                                  <w:tab w:val="center" w:pos="4153"/>
                                  <w:tab w:val="right" w:pos="8306"/>
                                </w:tabs>
                                <w:snapToGrid w:val="0"/>
                                <w:jc w:val="left"/>
                                <w:rPr>
                                  <w:rFonts w:ascii="Calibri" w:hAnsi="Calibri" w:eastAsia="宋体" w:cs="Times New Roman"/>
                                  <w:sz w:val="18"/>
                                  <w:szCs w:val="24"/>
                                </w:rPr>
                              </w:pPr>
                              <w:r>
                                <w:rPr>
                                  <w:rFonts w:ascii="Calibri" w:hAnsi="Calibri" w:eastAsia="宋体" w:cs="Times New Roman"/>
                                  <w:sz w:val="18"/>
                                  <w:szCs w:val="24"/>
                                </w:rPr>
                                <w:fldChar w:fldCharType="begin"/>
                              </w:r>
                              <w:r>
                                <w:rPr>
                                  <w:rFonts w:ascii="Calibri" w:hAnsi="Calibri" w:eastAsia="宋体" w:cs="Times New Roman"/>
                                  <w:sz w:val="18"/>
                                  <w:szCs w:val="24"/>
                                </w:rPr>
                                <w:instrText xml:space="preserve">PAGE   \* MERGEFORMAT</w:instrText>
                              </w:r>
                              <w:r>
                                <w:rPr>
                                  <w:rFonts w:ascii="Calibri" w:hAnsi="Calibri" w:eastAsia="宋体" w:cs="Times New Roman"/>
                                  <w:sz w:val="18"/>
                                  <w:szCs w:val="24"/>
                                </w:rPr>
                                <w:fldChar w:fldCharType="separate"/>
                              </w:r>
                              <w:r>
                                <w:rPr>
                                  <w:rFonts w:ascii="Calibri" w:hAnsi="Calibri" w:eastAsia="宋体" w:cs="Times New Roman"/>
                                  <w:sz w:val="18"/>
                                  <w:szCs w:val="24"/>
                                  <w:lang w:val="zh-CN"/>
                                </w:rPr>
                                <w:t>2</w:t>
                              </w:r>
                              <w:r>
                                <w:rPr>
                                  <w:rFonts w:ascii="Calibri" w:hAnsi="Calibri" w:eastAsia="宋体" w:cs="Times New Roman"/>
                                  <w:sz w:val="18"/>
                                  <w:szCs w:val="24"/>
                                </w:rPr>
                                <w:fldChar w:fldCharType="end"/>
                              </w:r>
                            </w:p>
                          </w:sdtContent>
                        </w:sdt>
                        <w:p w14:paraId="710BF714">
                          <w:pPr>
                            <w:rPr>
                              <w:rFonts w:ascii="Calibri" w:hAnsi="Calibri" w:eastAsia="宋体" w:cs="Times New Roman"/>
                              <w:sz w:val="18"/>
                              <w:szCs w:val="24"/>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rPr>
                        <w:rFonts w:ascii="Calibri" w:hAnsi="Calibri" w:eastAsia="宋体" w:cs="Times New Roman"/>
                        <w:sz w:val="18"/>
                        <w:szCs w:val="24"/>
                      </w:rPr>
                      <w:id w:val="-916329726"/>
                    </w:sdtPr>
                    <w:sdtEndPr>
                      <w:rPr>
                        <w:rFonts w:ascii="Calibri" w:hAnsi="Calibri" w:eastAsia="宋体" w:cs="Times New Roman"/>
                        <w:sz w:val="18"/>
                        <w:szCs w:val="24"/>
                      </w:rPr>
                    </w:sdtEndPr>
                    <w:sdtContent>
                      <w:p w14:paraId="52D28382">
                        <w:pPr>
                          <w:tabs>
                            <w:tab w:val="center" w:pos="4153"/>
                            <w:tab w:val="right" w:pos="8306"/>
                          </w:tabs>
                          <w:snapToGrid w:val="0"/>
                          <w:jc w:val="left"/>
                          <w:rPr>
                            <w:rFonts w:ascii="Calibri" w:hAnsi="Calibri" w:eastAsia="宋体" w:cs="Times New Roman"/>
                            <w:sz w:val="18"/>
                            <w:szCs w:val="24"/>
                          </w:rPr>
                        </w:pPr>
                        <w:r>
                          <w:rPr>
                            <w:rFonts w:ascii="Calibri" w:hAnsi="Calibri" w:eastAsia="宋体" w:cs="Times New Roman"/>
                            <w:sz w:val="18"/>
                            <w:szCs w:val="24"/>
                          </w:rPr>
                          <w:fldChar w:fldCharType="begin"/>
                        </w:r>
                        <w:r>
                          <w:rPr>
                            <w:rFonts w:ascii="Calibri" w:hAnsi="Calibri" w:eastAsia="宋体" w:cs="Times New Roman"/>
                            <w:sz w:val="18"/>
                            <w:szCs w:val="24"/>
                          </w:rPr>
                          <w:instrText xml:space="preserve">PAGE   \* MERGEFORMAT</w:instrText>
                        </w:r>
                        <w:r>
                          <w:rPr>
                            <w:rFonts w:ascii="Calibri" w:hAnsi="Calibri" w:eastAsia="宋体" w:cs="Times New Roman"/>
                            <w:sz w:val="18"/>
                            <w:szCs w:val="24"/>
                          </w:rPr>
                          <w:fldChar w:fldCharType="separate"/>
                        </w:r>
                        <w:r>
                          <w:rPr>
                            <w:rFonts w:ascii="Calibri" w:hAnsi="Calibri" w:eastAsia="宋体" w:cs="Times New Roman"/>
                            <w:sz w:val="18"/>
                            <w:szCs w:val="24"/>
                            <w:lang w:val="zh-CN"/>
                          </w:rPr>
                          <w:t>2</w:t>
                        </w:r>
                        <w:r>
                          <w:rPr>
                            <w:rFonts w:ascii="Calibri" w:hAnsi="Calibri" w:eastAsia="宋体" w:cs="Times New Roman"/>
                            <w:sz w:val="18"/>
                            <w:szCs w:val="24"/>
                          </w:rPr>
                          <w:fldChar w:fldCharType="end"/>
                        </w:r>
                      </w:p>
                    </w:sdtContent>
                  </w:sdt>
                  <w:p w14:paraId="710BF714">
                    <w:pPr>
                      <w:rPr>
                        <w:rFonts w:ascii="Calibri" w:hAnsi="Calibri" w:eastAsia="宋体" w:cs="Times New Roman"/>
                        <w:sz w:val="18"/>
                        <w:szCs w:val="24"/>
                      </w:rPr>
                    </w:pPr>
                  </w:p>
                </w:txbxContent>
              </v:textbox>
            </v:shape>
          </w:pict>
        </mc:Fallback>
      </mc:AlternateContent>
    </w:r>
  </w:p>
  <w:p w14:paraId="0C7D45FD">
    <w:pPr>
      <w:pStyle w:val="2"/>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4B4"/>
    <w:rsid w:val="00004976"/>
    <w:rsid w:val="00025B22"/>
    <w:rsid w:val="00065A31"/>
    <w:rsid w:val="000A409C"/>
    <w:rsid w:val="000A7A07"/>
    <w:rsid w:val="000E6F74"/>
    <w:rsid w:val="000E7237"/>
    <w:rsid w:val="000F5C07"/>
    <w:rsid w:val="001559A5"/>
    <w:rsid w:val="00184E9F"/>
    <w:rsid w:val="001A00D6"/>
    <w:rsid w:val="001F7C0A"/>
    <w:rsid w:val="00237852"/>
    <w:rsid w:val="00255A8E"/>
    <w:rsid w:val="002D5766"/>
    <w:rsid w:val="002E6B7C"/>
    <w:rsid w:val="003A1CD6"/>
    <w:rsid w:val="003B0A7B"/>
    <w:rsid w:val="003E5E3C"/>
    <w:rsid w:val="00407217"/>
    <w:rsid w:val="00417CA9"/>
    <w:rsid w:val="0048464C"/>
    <w:rsid w:val="00496028"/>
    <w:rsid w:val="004F0EB1"/>
    <w:rsid w:val="00523211"/>
    <w:rsid w:val="00524726"/>
    <w:rsid w:val="0057505C"/>
    <w:rsid w:val="00595B46"/>
    <w:rsid w:val="005A07DF"/>
    <w:rsid w:val="005D70AE"/>
    <w:rsid w:val="005E6724"/>
    <w:rsid w:val="005F0B2B"/>
    <w:rsid w:val="006B1724"/>
    <w:rsid w:val="00701F1B"/>
    <w:rsid w:val="00702AC8"/>
    <w:rsid w:val="0073514C"/>
    <w:rsid w:val="00741A5C"/>
    <w:rsid w:val="00755138"/>
    <w:rsid w:val="00761785"/>
    <w:rsid w:val="008340BD"/>
    <w:rsid w:val="008750C0"/>
    <w:rsid w:val="008965A7"/>
    <w:rsid w:val="00975037"/>
    <w:rsid w:val="009C30AF"/>
    <w:rsid w:val="009D505B"/>
    <w:rsid w:val="00A55E78"/>
    <w:rsid w:val="00AA0669"/>
    <w:rsid w:val="00AE27E0"/>
    <w:rsid w:val="00B467E7"/>
    <w:rsid w:val="00B62CB7"/>
    <w:rsid w:val="00B6413D"/>
    <w:rsid w:val="00BF3EB8"/>
    <w:rsid w:val="00CD44B4"/>
    <w:rsid w:val="00CD6D3D"/>
    <w:rsid w:val="00D029B6"/>
    <w:rsid w:val="00D064B8"/>
    <w:rsid w:val="00D5393D"/>
    <w:rsid w:val="00D74736"/>
    <w:rsid w:val="00D91299"/>
    <w:rsid w:val="00DE677F"/>
    <w:rsid w:val="00E01691"/>
    <w:rsid w:val="00E536E3"/>
    <w:rsid w:val="00E5397F"/>
    <w:rsid w:val="00E92C88"/>
    <w:rsid w:val="00EF2289"/>
    <w:rsid w:val="00EF4EBE"/>
    <w:rsid w:val="00F312FE"/>
    <w:rsid w:val="00F57722"/>
    <w:rsid w:val="00FC350E"/>
    <w:rsid w:val="00FD407E"/>
    <w:rsid w:val="00FF3D25"/>
    <w:rsid w:val="10057369"/>
    <w:rsid w:val="29AC23A0"/>
    <w:rsid w:val="2DC9227D"/>
    <w:rsid w:val="366B28CE"/>
    <w:rsid w:val="3D3D1F9F"/>
    <w:rsid w:val="494C46C0"/>
    <w:rsid w:val="4C0F2222"/>
    <w:rsid w:val="56907371"/>
    <w:rsid w:val="71FB09CF"/>
    <w:rsid w:val="73C51294"/>
    <w:rsid w:val="7B3DED81"/>
    <w:rsid w:val="FFCD5F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3586</Words>
  <Characters>3594</Characters>
  <Lines>88</Lines>
  <Paragraphs>84</Paragraphs>
  <TotalTime>0</TotalTime>
  <ScaleCrop>false</ScaleCrop>
  <LinksUpToDate>false</LinksUpToDate>
  <CharactersWithSpaces>3634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2022-06-17T09:11:00Z</dcterms:created>
  <dc:creator>彭 骅</dc:creator>
  <cp:lastModifiedBy>长沙</cp:lastModifiedBy>
  <cp:lastPrinted>2025-07-04T01:33:00Z</cp:lastPrinted>
  <dcterms:modified xsi:type="dcterms:W3CDTF">2025-07-24T03:49:21Z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eyJoZGlkIjoiNGQxYWY1YTAzZjkzMTM0NTNlYjY3ZGRjOTAwYTM4NDciLCJ1c2VySWQiOiI5MjEwMjA0MzkifQ==</vt:lpwstr>
  </property>
  <property fmtid="{D5CDD505-2E9C-101B-9397-08002B2CF9AE}" pid="4" name="ICV">
    <vt:lpwstr>E3E41182C3464DB0B00CC3118DFFA456_12</vt:lpwstr>
  </property>
</Properties>
</file>