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 xml:space="preserve">阳 县 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金溪镇人民政府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部门整体支出绩效自评报告</w:t>
      </w:r>
    </w:p>
    <w:p>
      <w:pPr>
        <w:numPr>
          <w:ilvl w:val="0"/>
          <w:numId w:val="1"/>
        </w:numPr>
        <w:spacing w:line="60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部门、单位基本情况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（一）机构设置情况</w:t>
      </w:r>
    </w:p>
    <w:p>
      <w:pPr>
        <w:pStyle w:val="10"/>
        <w:widowControl/>
        <w:spacing w:line="600" w:lineRule="exact"/>
        <w:ind w:firstLine="560"/>
        <w:rPr>
          <w:rFonts w:ascii="楷体_GB2312" w:eastAsia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衡阳县金溪镇人民政府为正科级全额拨款行政单位。内设4个机构，即三中心一大队分别有：社会事业综合服务中心，农业综合服务中心，政务服务中心，综合行政执法大队。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eastAsia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eastAsia="楷体_GB2312"/>
          <w:b/>
          <w:bCs/>
          <w:sz w:val="32"/>
          <w:szCs w:val="32"/>
        </w:rPr>
        <w:t>人员编制情况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编制人数93人，镇机关行政定编37人，事业站所定编56人。在职人数67人，行政编在职28人，事业编39人，退休46人。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321" w:firstLineChars="100"/>
        <w:textAlignment w:val="auto"/>
        <w:rPr>
          <w:rFonts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（三）主要职能职责</w:t>
      </w:r>
    </w:p>
    <w:p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执行本级人民代表大会决议和上级国家行政机关的决定和命令，发布决定和命令;落实国家政策，严格依法行政。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执行本乡镇区域内的经济和社会发展计划、预算，管理本镇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，促进经济发展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按计划组织本级财政收入和地方税的征收，完成国家财政计划，不断培植税源，管好财政资金，增强财政实力。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保障宪法和法律赋予妇女的男女平等、同工同酬和婚姻自由等各项权利，保障少数民族的合法权利和尊重少数民族的风俗习惯。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抓好精神文明建设，丰富群众文化生活，提倡移风易俗，反对封建迷信，破除陈规陋习，树立社会主义新风尚。 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</w:rPr>
        <w:t>承办县委、县人民政府交办的其他事项。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hint="eastAsia"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（四）绩效目标设定情况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保证人员经费和公用经费按照预算项目合理支出，确保单位办公合理运转，按时足额发放职工工资，缴纳政策性社会保障资金（公积金、社保、养老），调灾害防治、安全生产、森林防火实现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零发生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，全面做好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底线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工作，大力发展民生事业，坚决贯彻党中央惠农富农相关政策，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一卡通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补贴发放及时率达100%，坚守民生保障底线。</w:t>
      </w:r>
    </w:p>
    <w:p>
      <w:pPr>
        <w:pStyle w:val="10"/>
        <w:widowControl/>
        <w:numPr>
          <w:ilvl w:val="0"/>
          <w:numId w:val="1"/>
        </w:numPr>
        <w:spacing w:line="600" w:lineRule="exact"/>
        <w:ind w:firstLine="64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一般公共预算支出情况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ascii="楷体_GB2312" w:hAnsi="楷体" w:eastAsia="楷体_GB2312" w:cs="楷体"/>
          <w:b/>
          <w:bCs/>
          <w:sz w:val="32"/>
          <w:szCs w:val="32"/>
        </w:rPr>
      </w:pPr>
      <w:r>
        <w:rPr>
          <w:rFonts w:hint="eastAsia" w:ascii="楷体_GB2312" w:hAnsi="楷体" w:eastAsia="楷体_GB2312" w:cs="楷体"/>
          <w:b/>
          <w:bCs/>
          <w:sz w:val="32"/>
          <w:szCs w:val="32"/>
        </w:rPr>
        <w:t>（一）经批复的预、决算情况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对金溪镇2022年部门预算批复如下：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组织收入计划。按照巩固总量，提升质量的总体要求，2022年全镇部门财政收入为1395.73万元。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部门支出预算。2022年全镇部门支出为1395.73万元。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对金溪镇2022年部门决算批复如下：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2022年度本部门收入决算数2071.58万元，其中财政拨款收入1618.26万元，上年结转和结余0万元，其他收入153.32万元。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2022年度支出决算数2071.58万元，其中基本支出人员经费736.14万元，公用经费57.62万元；项目支出1277.82万元。</w:t>
      </w:r>
    </w:p>
    <w:p>
      <w:pPr>
        <w:pStyle w:val="10"/>
        <w:widowControl/>
        <w:spacing w:line="600" w:lineRule="exact"/>
        <w:ind w:firstLine="321" w:firstLineChars="100"/>
        <w:rPr>
          <w:rFonts w:hint="eastAsia" w:ascii="楷体_GB2312" w:hAnsi="楷体" w:eastAsia="楷体_GB2312" w:cs="楷体"/>
          <w:b/>
          <w:bCs/>
          <w:sz w:val="32"/>
          <w:szCs w:val="32"/>
        </w:rPr>
      </w:pPr>
      <w:r>
        <w:rPr>
          <w:rFonts w:hint="eastAsia" w:ascii="楷体_GB2312" w:hAnsi="楷体" w:eastAsia="楷体_GB2312" w:cs="楷体"/>
          <w:b/>
          <w:bCs/>
          <w:sz w:val="32"/>
          <w:szCs w:val="32"/>
        </w:rPr>
        <w:t>（二）部门预算执行情况</w:t>
      </w:r>
    </w:p>
    <w:p>
      <w:pPr>
        <w:pStyle w:val="10"/>
        <w:widowControl/>
        <w:spacing w:line="600" w:lineRule="exact"/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1.基本支出情况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度全镇实际总支出2071.58万元，比上年增加367万元，增加21.53%，增加的主要原因是：年度执行中单位人数变动及单位事权调整。按支出性质：其中基本支出793.76万元，其中基本支出人员经费736.14万元，公用经费57.62万元，比上年减少764.94万元，减少50%。项目支出1277.82万元，增加1131.94万元，增加上升幅度大于100%。公务接待费本年2.98万元，全年接待批次150次，接待人数745人，比上年3.31元减少0.33万元，主要是接待多在食堂用餐，接待费用大幅下降。公务用车运行费本年支出0万元，其中公务用车购置费为0，公务用车运行维护费0万元，严格控制“三公经费”由镇党政办严格用车制度。</w:t>
      </w:r>
    </w:p>
    <w:p>
      <w:pPr>
        <w:pStyle w:val="10"/>
        <w:widowControl/>
        <w:spacing w:line="600" w:lineRule="exact"/>
        <w:ind w:firstLine="640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2.项目支出情况</w:t>
      </w:r>
      <w:r>
        <w:rPr>
          <w:rFonts w:hint="eastAsia" w:ascii="楷体_GB2312" w:hAnsi="楷体" w:eastAsia="楷体_GB2312" w:cs="楷体"/>
          <w:sz w:val="32"/>
          <w:szCs w:val="32"/>
        </w:rPr>
        <w:tab/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项目支出共1277.82万元，年初预算728.26万元。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ascii="楷体_GB2312" w:hAnsi="楷体" w:eastAsia="楷体_GB2312" w:cs="楷体"/>
          <w:b/>
          <w:bCs w:val="0"/>
          <w:sz w:val="32"/>
          <w:szCs w:val="32"/>
        </w:rPr>
      </w:pPr>
      <w:r>
        <w:rPr>
          <w:rFonts w:hint="eastAsia" w:ascii="楷体_GB2312" w:hAnsi="楷体" w:eastAsia="楷体_GB2312" w:cs="楷体"/>
          <w:b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  <w:lang w:val="en-US" w:eastAsia="zh-CN"/>
        </w:rPr>
        <w:t>三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  <w:lang w:eastAsia="zh-CN"/>
        </w:rPr>
        <w:t>）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</w:rPr>
        <w:t>“三公”经费使用和管理情况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“三公”经费支出2.98万元，年初预算数无差额；比2021年决算数减少0.33万元，减幅10%。2022年“三公”经费支出比上年对比减少的主要原因是压缩预算数，车辆统一调配及压缩开支，接待多在食堂用自助餐，接待费用大幅下降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2022年因公出国（境）费为0元，年初预算数0元，2022年决算因公出国（境）费为0元。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2022年公务用车购置及运行维护费为0万元，与年初预算数无差额。</w:t>
      </w:r>
    </w:p>
    <w:p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2022年公务接待费支出为2.98万元，与年初预算数无差额；比2021年决算数减少0.33万元，减幅10%。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ascii="楷体_GB2312" w:hAnsi="楷体" w:eastAsia="楷体_GB2312" w:cs="楷体"/>
          <w:b/>
          <w:bCs w:val="0"/>
          <w:sz w:val="32"/>
          <w:szCs w:val="32"/>
        </w:rPr>
      </w:pPr>
      <w:r>
        <w:rPr>
          <w:rFonts w:hint="eastAsia" w:ascii="楷体_GB2312" w:hAnsi="楷体" w:eastAsia="楷体_GB2312" w:cs="楷体"/>
          <w:b/>
          <w:bCs w:val="0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</w:rPr>
        <w:t>资金结转和结余情况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年初结转结余287.58万元，本年度年末结余0万。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textAlignment w:val="auto"/>
        <w:rPr>
          <w:rFonts w:ascii="楷体_GB2312" w:hAnsi="楷体" w:eastAsia="楷体_GB2312" w:cs="楷体"/>
          <w:b/>
          <w:bCs w:val="0"/>
          <w:sz w:val="32"/>
          <w:szCs w:val="32"/>
        </w:rPr>
      </w:pPr>
      <w:r>
        <w:rPr>
          <w:rFonts w:hint="eastAsia" w:ascii="楷体_GB2312" w:hAnsi="楷体" w:eastAsia="楷体_GB2312" w:cs="楷体"/>
          <w:b/>
          <w:bCs w:val="0"/>
          <w:kern w:val="2"/>
          <w:sz w:val="32"/>
          <w:szCs w:val="32"/>
          <w:lang w:val="en-US" w:eastAsia="zh-CN" w:bidi="ar-SA"/>
        </w:rPr>
        <w:t>（五）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</w:rPr>
        <w:t>部门整体支出管理与制度建设情况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1、三公经费控制良好，严格执行年初预算，压减开支，控制率达到100%。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2、按预算执行本镇的各项开支，预算完成率和控制率均达到100%，收支平衡。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3、政府采购执行与控制率达到100%。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4、各项制度管理健全，资金使用合规。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5、重点工作和业务工作完成率100%。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6、取得良好的经济效益和社会效益。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7、提高行政效能，提升社会公众服务对象的满意度。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8、预决算信息公开率100%。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9、农村基础设施建设及民生工程持续改善。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、人居环境整治工作呈现良好态势。镇党委、政府牢固树立“绿水青山就是金山银山”的理念，结合本地实际开展整治工作。通过大宣传、大行动、大整治、大考评等一系列措施，全民参与，治垃圾、治污水、治厕所、治“四类房”。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、政府自身建设不断加强。镇政府自觉接受镇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pStyle w:val="10"/>
        <w:widowControl/>
        <w:spacing w:line="600" w:lineRule="exact"/>
        <w:ind w:firstLine="64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三、政府性基金预算支出情况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上年结转结余0万元，本年度共支出政府性基金预算财政拨款0万元。</w:t>
      </w:r>
    </w:p>
    <w:p>
      <w:pPr>
        <w:pStyle w:val="10"/>
        <w:widowControl/>
        <w:numPr>
          <w:ilvl w:val="0"/>
          <w:numId w:val="2"/>
        </w:numPr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国有资本经营预算支出情况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</w:p>
    <w:p>
      <w:pPr>
        <w:pStyle w:val="10"/>
        <w:widowControl/>
        <w:numPr>
          <w:ilvl w:val="0"/>
          <w:numId w:val="2"/>
        </w:numPr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社会保险基金预算支出情况</w:t>
      </w:r>
    </w:p>
    <w:p>
      <w:pPr>
        <w:pStyle w:val="10"/>
        <w:widowControl/>
        <w:spacing w:line="60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六、部门整体支出绩效情况</w:t>
      </w:r>
    </w:p>
    <w:p>
      <w:pPr>
        <w:widowControl/>
        <w:spacing w:line="600" w:lineRule="exact"/>
        <w:ind w:firstLine="321" w:firstLineChars="100"/>
        <w:jc w:val="left"/>
        <w:rPr>
          <w:rFonts w:hint="eastAsia" w:ascii="仿宋_GB2312" w:hAnsi="Times New Roman" w:eastAsia="楷体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"/>
          <w:b/>
          <w:bCs w:val="0"/>
          <w:sz w:val="32"/>
          <w:szCs w:val="32"/>
        </w:rPr>
        <w:t>（一）综合评价结论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</w:rPr>
        <w:t>反映自评得分及评价等级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  <w:lang w:eastAsia="zh-CN"/>
        </w:rPr>
        <w:t>）</w:t>
      </w:r>
    </w:p>
    <w:p>
      <w:pPr>
        <w:widowControl/>
        <w:spacing w:line="600" w:lineRule="exact"/>
        <w:ind w:firstLine="645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2022年对照《金溪镇人民政府2022年度部门整体支出绩效评价指标评分表》等方面具体指标综合评分，得分为99分，综合评价等级分为优秀。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left"/>
        <w:textAlignment w:val="auto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  <w:lang w:val="en-US" w:eastAsia="zh-CN"/>
        </w:rPr>
        <w:t>二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  <w:lang w:eastAsia="zh-CN"/>
        </w:rPr>
        <w:t>）</w:t>
      </w:r>
      <w:r>
        <w:rPr>
          <w:rFonts w:hint="eastAsia" w:ascii="楷体_GB2312" w:hAnsi="楷体" w:eastAsia="楷体_GB2312" w:cs="楷体"/>
          <w:b/>
          <w:bCs w:val="0"/>
          <w:sz w:val="32"/>
          <w:szCs w:val="32"/>
        </w:rPr>
        <w:t>评价指标分析（或综合评价情况）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line="600" w:lineRule="exact"/>
        <w:ind w:left="0" w:firstLine="640"/>
        <w:textAlignment w:val="auto"/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  <w:t>1、年度资金总额分析情况：2022年度本部门收入决算数2071.58万元，其中财政拨款收入1618.26万元，上年结转和结余287.58万元。本部门预算数1395.73，预算执行率148.42，分值满分为10分，该项指标得分10分。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Toc21901"/>
      <w:r>
        <w:rPr>
          <w:rFonts w:hint="eastAsia" w:ascii="仿宋_GB2312" w:hAnsi="仿宋_GB2312" w:eastAsia="仿宋_GB2312" w:cs="仿宋_GB2312"/>
          <w:bCs/>
          <w:sz w:val="32"/>
          <w:szCs w:val="32"/>
        </w:rPr>
        <w:t>2、产出指标情况分析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  <w:t>2022年部门整体支出绩效目标：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  <w:t>①保障人员经费合理支出②保证安全生产，做好“底线”工作③发展民生事业，做好惠民惠农工作这三个方面发展。产出指标总分50分，该项指标得分49分。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line="600" w:lineRule="exact"/>
        <w:ind w:left="0" w:firstLine="640"/>
        <w:textAlignment w:val="auto"/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lang w:val="en-US" w:eastAsia="zh-CN" w:bidi="ar-SA"/>
        </w:rPr>
        <w:t>出现偏差原因：1、关于做好保障民生工作方面，因交通不便利，家中青年在外务工，老人不方便到镇财政所办理惠民惠农相关业务，导致惠农补贴发放失败不能及时更改错误信息。措施：及时查询惠农补贴发放失败名单，筛选分发至各村，由村统一汇总正确惠农信息，带办理更正惠农的资料复印件到镇财政所统一办理。2、关于做好安全生产工作方面，全面做好安全生产“底线”工作经费超年初预算，要把经费用在关键上。措施：由安全领导工作小组开会讨论整年的经费安排，把经费用在刀刃上，削减不必要的开支，严格控制安全生产经费并做好安全生产工作，兜劳安全“底线”。</w:t>
      </w:r>
    </w:p>
    <w:bookmarkEnd w:id="0"/>
    <w:p>
      <w:pPr>
        <w:pStyle w:val="10"/>
        <w:widowControl/>
        <w:spacing w:line="600" w:lineRule="exact"/>
        <w:ind w:firstLine="640"/>
        <w:jc w:val="lef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七、存在的问题及原因分析</w:t>
      </w:r>
    </w:p>
    <w:p>
      <w:pPr>
        <w:pStyle w:val="10"/>
        <w:widowControl/>
        <w:spacing w:line="600" w:lineRule="exact"/>
        <w:ind w:firstLine="56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村级项目资金需项目完成且验收合格才资金下拨，因不可抗拒因素，项目进度稍微缓慢。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八、下一步改进措施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督促村级抓紧项目完工，所有的项目资金必须填报村级项目资金拨付申请表，验收合格予以拨付。同时抓好资金监管，不定期抽巡查工作，确保村级所有支出必须专款专用。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九、其他需要说明的情况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无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报告应包括以下附件：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1.部门整体支出绩效评价基础数据表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2.部门整体支出绩效自评表</w:t>
      </w: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 w:eastAsia="仿宋_GB2312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填报单位：衡阳县金溪镇人民政府</w:t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>填报时间：2023/2/28</w:t>
      </w:r>
      <w:r>
        <w:rPr>
          <w:rFonts w:ascii="Times New Roman" w:hAnsi="Times New Roman" w:eastAsia="PMingLiU"/>
          <w:kern w:val="0"/>
          <w:sz w:val="24"/>
        </w:rPr>
        <w:tab/>
      </w:r>
    </w:p>
    <w:tbl>
      <w:tblPr>
        <w:tblStyle w:val="7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93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67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72%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793.76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793.76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1558.69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其中：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56.32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56.32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15.8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2.98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2.98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3.31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2.98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2.98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3.31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1277.82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1277.82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145.88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、业务工作专项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工资福利支出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276.14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276.14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4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商品服务支出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284.47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284.47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 xml:space="preserve">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对个人和家庭补助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94.16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94.16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0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资本性支出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623.05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623.05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145.88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、运行维护专项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、县级专项资金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</w:t>
            </w: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继续严格按照要求压缩三公经费　</w:t>
            </w:r>
          </w:p>
        </w:tc>
      </w:tr>
    </w:tbl>
    <w:p>
      <w:pPr>
        <w:spacing w:beforeLines="20"/>
        <w:rPr>
          <w:rFonts w:ascii="Times New Roman" w:hAnsi="Times New Roman"/>
          <w:kern w:val="0"/>
          <w:szCs w:val="22"/>
        </w:rPr>
      </w:pPr>
      <w:r>
        <w:rPr>
          <w:rFonts w:hint="eastAsia" w:ascii="Times New Roman" w:hAnsi="Times New Roman"/>
          <w:kern w:val="0"/>
          <w:szCs w:val="22"/>
        </w:rPr>
        <w:t>说明：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公用经费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填报基本支出中的一般商品和服务支出；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项目支出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填表人：贾缘龙       联系电话：17378238890   单位负责人签字：吕伟</w:t>
      </w:r>
    </w:p>
    <w:p>
      <w:pPr>
        <w:spacing w:beforeLines="20"/>
        <w:rPr>
          <w:rFonts w:ascii="宋体" w:hAnsi="宋体" w:cs="宋体"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beforeLines="2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ascii="Times New Roman" w:hAnsi="Times New Roman" w:eastAsia="仿宋"/>
          <w:color w:val="000000"/>
          <w:sz w:val="32"/>
          <w:szCs w:val="32"/>
        </w:rPr>
        <w:t xml:space="preserve">1-2 </w:t>
      </w:r>
    </w:p>
    <w:p>
      <w:pPr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Times New Roman" w:hAnsi="Times New Roman" w:eastAsia="方正小标宋_GBK"/>
          <w:sz w:val="28"/>
          <w:szCs w:val="28"/>
        </w:rPr>
      </w:pPr>
      <w:r>
        <w:rPr>
          <w:rFonts w:ascii="Times New Roman" w:hAnsi="Times New Roman" w:eastAsia="方正小标宋_GBK"/>
          <w:sz w:val="28"/>
          <w:szCs w:val="28"/>
        </w:rPr>
        <w:t>（</w:t>
      </w:r>
      <w:r>
        <w:rPr>
          <w:rFonts w:hint="eastAsia" w:ascii="Times New Roman" w:hAnsi="Times New Roman" w:eastAsia="方正小标宋_GBK"/>
          <w:sz w:val="28"/>
          <w:szCs w:val="28"/>
        </w:rPr>
        <w:t>2022</w:t>
      </w:r>
      <w:r>
        <w:rPr>
          <w:rFonts w:ascii="Times New Roman" w:hAnsi="Times New Roman"/>
          <w:sz w:val="28"/>
          <w:szCs w:val="28"/>
        </w:rPr>
        <w:t>年度</w:t>
      </w:r>
      <w:r>
        <w:rPr>
          <w:rFonts w:ascii="Times New Roman" w:hAnsi="Times New Roman" w:eastAsia="方正小标宋_GBK"/>
          <w:sz w:val="28"/>
          <w:szCs w:val="28"/>
        </w:rPr>
        <w:t>）</w:t>
      </w:r>
    </w:p>
    <w:p>
      <w:pPr>
        <w:spacing w:line="320" w:lineRule="exact"/>
        <w:jc w:val="center"/>
        <w:rPr>
          <w:rFonts w:ascii="Times New Roman" w:hAnsi="Times New Roman" w:eastAsia="方正小标宋_GBK"/>
          <w:sz w:val="28"/>
          <w:szCs w:val="28"/>
        </w:rPr>
      </w:pPr>
      <w:r>
        <w:rPr>
          <w:rFonts w:ascii="Times New Roman" w:hAnsi="Times New Roman"/>
          <w:sz w:val="24"/>
        </w:rPr>
        <w:t>填报单位（盖章）：</w:t>
      </w:r>
      <w:r>
        <w:rPr>
          <w:rFonts w:hint="eastAsia" w:ascii="Times New Roman" w:hAnsi="Times New Roman"/>
          <w:sz w:val="24"/>
        </w:rPr>
        <w:t>衡阳县金溪镇人民政府</w:t>
      </w:r>
      <w:r>
        <w:rPr>
          <w:rFonts w:ascii="Times New Roman" w:hAnsi="Times New Roman"/>
          <w:sz w:val="24"/>
        </w:rPr>
        <w:t xml:space="preserve">                填报时间：</w:t>
      </w:r>
      <w:r>
        <w:rPr>
          <w:rFonts w:hint="eastAsia" w:ascii="Times New Roman" w:hAnsi="Times New Roman"/>
          <w:sz w:val="24"/>
        </w:rPr>
        <w:t>2023/2/28</w:t>
      </w:r>
    </w:p>
    <w:tbl>
      <w:tblPr>
        <w:tblStyle w:val="7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695"/>
        <w:gridCol w:w="1521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全年预算数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年度资金总额　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2071.58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2071.58　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&gt;100%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5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按收入性质分类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按支出性质分类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一般公共预算拨款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1618.26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793.76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政府性基金拨款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736.14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纳入管理的非税收入拨款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ind w:firstLine="420" w:firstLineChars="20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57.62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……拨款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9" w:type="dxa"/>
            <w:gridSpan w:val="2"/>
            <w:vAlign w:val="center"/>
          </w:tcPr>
          <w:p>
            <w:pPr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其他资金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1277.82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年度总体目标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年初预期（设定）目标　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2889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50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目标1：建立稳定、完善的村级组织运转经费长效机制、规范财政补助村级组织运转保障资金管理。目标2：确保单位办公合理运转，按时足额发放职工工资，缴纳政策性社会保障资金（公积金、社保、养老）目标3：大力发展民生事业，坚决贯彻党中央惠农富农相关政策，"一卡通"补贴发放及时率达100%，坚守民生保障底线。</w:t>
            </w:r>
          </w:p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5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严格合理支出公用经费和人员经费 ，合理及时支付全额人员工资， 全面保障安全生产工作，大力发展民生事业。   </w:t>
            </w: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一级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二级指标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三级指标　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28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产出</w:t>
            </w: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指标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数量指标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村级组织运转经费用于金溪镇下辖17个村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17个村集体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17个村集体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工资及政策性社会保障性资金按月支付次数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1月/次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1月/次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质量指标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确保规范使用财政补助村级组织运转保障资金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财政资金及时下发率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&gt;95%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&gt;95%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时效指标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　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开展工作时效节点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1年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1年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成本指标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对村民委员会和党支部的补助资金预算金额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不突破预算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未突破预算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职工工资福利财政支出成本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不突破预算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未突破预算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效益</w:t>
            </w: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指标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（30分）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经济效益指标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拉动全镇经济发展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社会效益指标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保障村级组织正常运转，提高村干部工作积极性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服务民生，维持社会稳定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81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生态效益指标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农村环境整治经费提升村民生活居住环境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有所改善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有所改善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可持续影响指标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提高综合服务水平，提升群众综合素质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有所提升</w:t>
            </w:r>
          </w:p>
        </w:tc>
        <w:tc>
          <w:tcPr>
            <w:tcW w:w="84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满意度</w:t>
            </w:r>
          </w:p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指标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社会公众或服务对象满意度指标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社会公众满意度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&gt;95%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&gt;95%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服务对象满意度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&gt;95%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&gt;95%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综合评定等级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总  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说明</w:t>
            </w:r>
          </w:p>
        </w:tc>
        <w:tc>
          <w:tcPr>
            <w:tcW w:w="404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偏差及原因分析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44" w:type="dxa"/>
            <w:gridSpan w:val="4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村级项目资金需项目完成且验收合格才资金下拨，因不可抗拒因素，导致预算内指标小部分结转至2023年初。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督促村级抓紧项目完工，等待验收，抓好资金监管，不定期抽巡查工作</w:t>
            </w:r>
          </w:p>
        </w:tc>
      </w:tr>
    </w:tbl>
    <w:p>
      <w:pPr>
        <w:spacing w:beforeLines="50"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填表人：</w:t>
      </w:r>
      <w:r>
        <w:rPr>
          <w:rFonts w:hint="eastAsia" w:ascii="Times New Roman" w:hAnsi="Times New Roman"/>
        </w:rPr>
        <w:t>贾缘龙</w:t>
      </w:r>
      <w:r>
        <w:rPr>
          <w:rFonts w:ascii="Times New Roman" w:hAnsi="Times New Roman"/>
        </w:rPr>
        <w:t xml:space="preserve">          联系电话：</w:t>
      </w:r>
      <w:r>
        <w:rPr>
          <w:rFonts w:hint="eastAsia" w:ascii="Times New Roman" w:hAnsi="Times New Roman"/>
        </w:rPr>
        <w:t>17378238890</w:t>
      </w:r>
      <w:r>
        <w:rPr>
          <w:rFonts w:ascii="Times New Roman" w:hAnsi="Times New Roman"/>
        </w:rPr>
        <w:t xml:space="preserve">        单位负责人签字</w:t>
      </w:r>
      <w:r>
        <w:rPr>
          <w:rFonts w:ascii="Times New Roman" w:hAnsi="Times New Roman"/>
          <w:sz w:val="24"/>
        </w:rPr>
        <w:t>：</w:t>
      </w:r>
      <w:r>
        <w:rPr>
          <w:rFonts w:hint="eastAsia" w:ascii="Times New Roman" w:hAnsi="Times New Roman"/>
          <w:sz w:val="24"/>
        </w:rPr>
        <w:t>吕伟</w:t>
      </w: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2.综合评价等级分为优秀（S≥90）、良好（90＞S≥80）、较差（80＞S≥60）、 差（S＜60）</w:t>
      </w:r>
      <w:r>
        <w:rPr>
          <w:rFonts w:hint="eastAsia" w:eastAsia="仿宋_GB2312"/>
          <w:sz w:val="24"/>
        </w:rPr>
        <w:t>。</w:t>
      </w:r>
    </w:p>
    <w:p>
      <w:r>
        <w:rPr>
          <w:rFonts w:hint="eastAsia" w:ascii="仿宋_GB2312" w:hAnsi="仿宋_GB2312" w:eastAsia="仿宋_GB2312" w:cs="仿宋_GB2312"/>
          <w:sz w:val="24"/>
        </w:rPr>
        <w:t xml:space="preserve">      3.三级绩效指标按需自行增减行。个别不涉及的二级指标可删除不要。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7965E8-DA4C-497F-96B4-392B813AEA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A4F3C01-614E-452D-9D83-E3A98E82430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D6D690B-D3D3-4A87-A211-35383B136F68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DEC6F34-18B2-451F-A4D7-6857D74FDB6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FECA03E9-3ACE-4F65-BBB8-FD4D5748BBFC}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  <w:embedRegular r:id="rId6" w:fontKey="{B612FBBA-BCC0-4059-97F1-03994AF3975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CB8770FB-CB19-40AB-8FC1-31E4D73065CF}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  <w:embedRegular r:id="rId8" w:fontKey="{97258AE7-7D60-4C86-8269-7B6BDE953106}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7CD273"/>
    <w:multiLevelType w:val="singleLevel"/>
    <w:tmpl w:val="A57CD27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6393533"/>
    <w:multiLevelType w:val="singleLevel"/>
    <w:tmpl w:val="76393533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MTM0MGRkMmY0MTYxYjMwNjg0ODc5MTIzYjY2ZGIifQ=="/>
  </w:docVars>
  <w:rsids>
    <w:rsidRoot w:val="0A6B47B8"/>
    <w:rsid w:val="002B6D98"/>
    <w:rsid w:val="00381524"/>
    <w:rsid w:val="004563A2"/>
    <w:rsid w:val="0048548D"/>
    <w:rsid w:val="0052107C"/>
    <w:rsid w:val="007F4C96"/>
    <w:rsid w:val="00975452"/>
    <w:rsid w:val="009878BA"/>
    <w:rsid w:val="00B371B7"/>
    <w:rsid w:val="00BC2E6C"/>
    <w:rsid w:val="00BD0513"/>
    <w:rsid w:val="00D723E4"/>
    <w:rsid w:val="00E67565"/>
    <w:rsid w:val="00EA76D2"/>
    <w:rsid w:val="00F05F92"/>
    <w:rsid w:val="00F60CAA"/>
    <w:rsid w:val="00F62F38"/>
    <w:rsid w:val="00F63DFB"/>
    <w:rsid w:val="00F76567"/>
    <w:rsid w:val="00F865B5"/>
    <w:rsid w:val="00FD017D"/>
    <w:rsid w:val="0462668B"/>
    <w:rsid w:val="0A6B47B8"/>
    <w:rsid w:val="10593A4C"/>
    <w:rsid w:val="19B53245"/>
    <w:rsid w:val="1BA0121F"/>
    <w:rsid w:val="1ECC04E4"/>
    <w:rsid w:val="24244F5F"/>
    <w:rsid w:val="26AD77E2"/>
    <w:rsid w:val="285B71F7"/>
    <w:rsid w:val="2D556ABA"/>
    <w:rsid w:val="3240150B"/>
    <w:rsid w:val="3E4D63CA"/>
    <w:rsid w:val="43F7549F"/>
    <w:rsid w:val="4772431F"/>
    <w:rsid w:val="48F959AB"/>
    <w:rsid w:val="4C891102"/>
    <w:rsid w:val="4D652035"/>
    <w:rsid w:val="4DCB12EF"/>
    <w:rsid w:val="52360AEF"/>
    <w:rsid w:val="57A23F9D"/>
    <w:rsid w:val="58873D56"/>
    <w:rsid w:val="59F7462D"/>
    <w:rsid w:val="5C640FA2"/>
    <w:rsid w:val="645160A8"/>
    <w:rsid w:val="6A347226"/>
    <w:rsid w:val="720D7C27"/>
    <w:rsid w:val="76A1249F"/>
    <w:rsid w:val="76D42955"/>
    <w:rsid w:val="7A53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qFormat/>
    <w:uiPriority w:val="9"/>
    <w:pPr>
      <w:keepNext/>
      <w:keepLines/>
      <w:spacing w:before="120" w:after="120"/>
      <w:jc w:val="left"/>
      <w:outlineLvl w:val="0"/>
    </w:pPr>
    <w:rPr>
      <w:rFonts w:eastAsia="黑体"/>
      <w:bCs/>
      <w:kern w:val="44"/>
      <w:sz w:val="32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adjustRightInd w:val="0"/>
      <w:snapToGrid w:val="0"/>
      <w:spacing w:beforeLines="5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styleId="4">
    <w:name w:val="Body Text"/>
    <w:basedOn w:val="1"/>
    <w:unhideWhenUsed/>
    <w:qFormat/>
    <w:uiPriority w:val="99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character" w:customStyle="1" w:styleId="11">
    <w:name w:val="页眉 Char"/>
    <w:basedOn w:val="9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4409</Words>
  <Characters>2087</Characters>
  <Lines>17</Lines>
  <Paragraphs>12</Paragraphs>
  <TotalTime>341</TotalTime>
  <ScaleCrop>false</ScaleCrop>
  <LinksUpToDate>false</LinksUpToDate>
  <CharactersWithSpaces>6484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2023-02-21T02:18:00Z</dcterms:created>
  <dc:creator>lenovo</dc:creator>
  <cp:lastModifiedBy>佩</cp:lastModifiedBy>
  <cp:lastPrinted>2023-10-19T02:47:00Z</cp:lastPrinted>
  <dcterms:modified xsi:type="dcterms:W3CDTF">2023-10-19T07:46:14Z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7FD4E6021BF54F37838B5309FB2E2B75_13</vt:lpwstr>
  </property>
</Properties>
</file>